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theme/theme1.xml" ContentType="application/vnd.openxmlformats-officedocument.theme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>
      <w:pPr>
        <w:ind w:firstLine="720"/>
        <w:jc w:val="center"/>
        <w:rPr>
          <w:rFonts w:ascii="Times New Roman" w:cs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ru-RU"/>
        </w:rPr>
        <w:t>Формирование творческих навыков на уроках английского языка в начальной школе.</w:t>
      </w:r>
    </w:p>
    <w:p>
      <w:pPr>
        <w:ind w:firstLine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  <w:lang w:val="ru-RU"/>
        </w:rPr>
        <w:t xml:space="preserve">Повышение </w:t>
      </w:r>
      <w:r>
        <w:rPr>
          <w:rFonts w:ascii="Times New Roman" w:cs="Times New Roman" w:hAnsi="Times New Roman"/>
          <w:sz w:val="24"/>
          <w:szCs w:val="24"/>
          <w:lang w:val="ru-RU"/>
        </w:rPr>
        <w:t>интереса</w:t>
      </w:r>
      <w:r>
        <w:rPr>
          <w:rFonts w:ascii="Times New Roman" w:cs="Times New Roman" w:hAnsi="Times New Roman"/>
          <w:sz w:val="24"/>
          <w:szCs w:val="24"/>
          <w:lang w:val="ru-RU"/>
        </w:rPr>
        <w:t xml:space="preserve"> школьников к обучению, внедрение новых технологий и приемов обу</w:t>
      </w:r>
      <w:r>
        <w:rPr>
          <w:rFonts w:ascii="Times New Roman" w:cs="Times New Roman" w:hAnsi="Times New Roman"/>
          <w:sz w:val="24"/>
          <w:szCs w:val="24"/>
          <w:lang w:val="ru-RU"/>
        </w:rPr>
        <w:t>чения являются неотъемлемой частью учебного процесса. Главная задача педагога мотивировать ученика на постоянное продолжение</w:t>
      </w:r>
      <w:r>
        <w:rPr>
          <w:rFonts w:ascii="Times New Roman" w:cs="Times New Roman" w:hAnsi="Times New Roman"/>
          <w:sz w:val="24"/>
          <w:szCs w:val="24"/>
          <w:lang w:val="ru-RU"/>
        </w:rPr>
        <w:t xml:space="preserve"> обучения в течение всей жизни, </w:t>
      </w:r>
      <w:r>
        <w:rPr>
          <w:rFonts w:ascii="Times New Roman" w:cs="Times New Roman" w:hAnsi="Times New Roman"/>
          <w:sz w:val="24"/>
          <w:szCs w:val="24"/>
          <w:lang w:val="ru-RU"/>
        </w:rPr>
        <w:t xml:space="preserve">ребенок должен не только получить набор предметных знаний, но уметь применять их на практике в реальной жизни </w:t>
      </w:r>
      <w:r>
        <w:rPr>
          <w:rFonts w:ascii="Times New Roman" w:cs="Times New Roman" w:hAnsi="Times New Roman"/>
          <w:sz w:val="24"/>
          <w:szCs w:val="24"/>
          <w:lang w:val="ru-RU"/>
        </w:rPr>
        <w:t xml:space="preserve">. Для усовершенствования формы организации образовательного процесса, учителям следует </w:t>
      </w:r>
      <w:r>
        <w:rPr>
          <w:rFonts w:ascii="Times New Roman" w:cs="Times New Roman" w:hAnsi="Times New Roman"/>
          <w:sz w:val="24"/>
          <w:szCs w:val="24"/>
          <w:lang w:val="ru-RU"/>
        </w:rPr>
        <w:t>проводить уроки</w:t>
      </w:r>
      <w:r>
        <w:rPr>
          <w:rFonts w:ascii="Times New Roman" w:cs="Times New Roman" w:hAnsi="Times New Roman"/>
          <w:sz w:val="24"/>
          <w:szCs w:val="24"/>
          <w:lang w:val="ru-RU"/>
        </w:rPr>
        <w:t xml:space="preserve"> таким образом, чтобы ученик не имел желание отвлекаться, был сосредоточен и полностью погружен в процесс обучения. В этом может помочь использование творческой деятельности на уроках </w:t>
      </w:r>
    </w:p>
    <w:p>
      <w:pPr>
        <w:ind w:firstLine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  <w:lang w:val="ru-RU"/>
        </w:rPr>
        <w:t>Широкие возможности для проявления собственной индивидуальности на уроках английского языка дает использование творческих заданий. На пополнении и углублении имеющихся знаний, развитии таких качеств интеллекта, как гибкость, критичность, оригинальность мышления, преодоление стереотипов основывается индивидуализация.</w:t>
      </w:r>
      <w:r>
        <w:rPr>
          <w:rFonts w:ascii="Times New Roman" w:cs="Times New Roman" w:hAnsi="Times New Roman"/>
          <w:sz w:val="24"/>
          <w:szCs w:val="24"/>
          <w:lang w:val="ru-RU"/>
        </w:rPr>
        <w:t xml:space="preserve"> Творческое воображение и мышление учащихся  обладает рефлексией.  Цель рефлексии не просто уйти с урока с зафиксированным результатом, а выстроить смысловую цепочку. Творческое воображение является одним из важнейших элементов в развитии творческих способностей. Оно активизирует интеллектуальные силы для поиска новых идей и представлений. Следовательно активные приемы обучения с чередованием творческих заданий могут побудить участников образовательного процесса не только к активной и практической деятельности, но и способствует формированию положительной учебной мотивации, раскрывают и развивают творческие способности, на что указывают новые ФГОС и национальный проект образования.</w:t>
      </w:r>
    </w:p>
    <w:p>
      <w:pPr>
        <w:shd w:val="clear" w:color="auto" w:fill="ffffff"/>
        <w:spacing w:before="100" w:after="100" w:line="240" w:lineRule="auto"/>
        <w:ind w:firstLine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bCs/>
          <w:color w:val="2b2b2b"/>
          <w:sz w:val="24"/>
          <w:szCs w:val="24"/>
          <w:lang w:val="ru-RU" w:eastAsia="ru-RU"/>
        </w:rPr>
        <w:t xml:space="preserve">На уроках английского языка мною используются активные приемы, которые помогают как учителю, так и учащимся. В данной статье можно ознакомиться с моими личными практическими приемами, которые </w:t>
      </w:r>
      <w:r>
        <w:rPr>
          <w:rFonts w:ascii="Times New Roman" w:cs="Times New Roman" w:eastAsia="Times New Roman" w:hAnsi="Times New Roman"/>
          <w:bCs/>
          <w:color w:val="2b2b2b"/>
          <w:sz w:val="24"/>
          <w:szCs w:val="24"/>
          <w:lang w:val="ru-RU" w:eastAsia="ru-RU"/>
        </w:rPr>
        <w:t xml:space="preserve">можно использовать не только на уроках иностранного языка, но и на других дисциплинах. </w:t>
      </w:r>
    </w:p>
    <w:p>
      <w:pPr>
        <w:shd w:val="clear" w:color="auto" w:fill="ffffff"/>
        <w:spacing w:after="0" w:line="336" w:lineRule="atLeast"/>
        <w:rPr>
          <w:rFonts w:ascii="Times New Roman" w:cs="Times New Roman" w:hAnsi="Times New Roman"/>
          <w:sz w:val="24"/>
          <w:szCs w:val="24"/>
        </w:rPr>
        <w:sectPr>
          <w:pgMar w:top="567" w:right="624" w:bottom="567" w:left="567"/>
        </w:sectPr>
      </w:pPr>
      <w:r>
        <w:rPr>
          <w:rFonts w:ascii="Times New Roman" w:cs="Times New Roman" w:eastAsia="Times New Roman" w:hAnsi="Times New Roman"/>
          <w:bCs/>
          <w:color w:val="2b2b2b"/>
          <w:sz w:val="24"/>
          <w:szCs w:val="24"/>
          <w:lang w:val="ru-RU"/>
        </w:rPr>
        <w:t>Один из самых распространенных приемов - “</w:t>
      </w:r>
      <w:r>
        <w:rPr>
          <w:rFonts w:ascii="Times New Roman" w:cs="Times New Roman" w:eastAsia="Times New Roman" w:hAnsi="Times New Roman"/>
          <w:b/>
          <w:bCs/>
          <w:color w:val="2b2b2b"/>
          <w:sz w:val="24"/>
          <w:szCs w:val="24"/>
          <w:lang w:val="ru-RU"/>
        </w:rPr>
        <w:t>Кластеры.”</w:t>
      </w:r>
      <w:r>
        <w:rPr>
          <w:rFonts w:ascii="Times New Roman" w:cs="Times New Roman" w:eastAsia="Times New Roman" w:hAnsi="Times New Roman"/>
          <w:bCs/>
          <w:color w:val="2b2b2b"/>
          <w:sz w:val="24"/>
          <w:szCs w:val="24"/>
          <w:lang w:val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Ученик записывает в центре листа ключевое понятие, а от него рисует стрелки-лучи в разные стороны, которые соединяют это слово с другими, от которых в свою очередь лучи расходятся далее и далее. </w:t>
      </w:r>
      <w:r>
        <w:rPr>
          <w:rFonts w:ascii="Times New Roman" w:cs="Times New Roman" w:eastAsia="Times New Roman" w:hAnsi="Times New Roman"/>
          <w:sz w:val="24"/>
          <w:szCs w:val="24"/>
          <w:lang w:val="ru-RU" w:eastAsia="ru-RU"/>
        </w:rPr>
        <w:t>(Рис.1)</w:t>
      </w:r>
    </w:p>
    <w:p>
      <w:pPr>
        <w:shd w:val="clear" w:color="auto" w:fill="ffffff"/>
        <w:spacing w:before="100" w:after="100" w:line="240" w:lineRule="auto"/>
        <w:ind w:firstLine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drawing xmlns:mc="http://schemas.openxmlformats.org/markup-compatibility/2006">
          <wp:inline distT="0" distB="0" distL="0" distR="0">
            <wp:extent cx="1952625" cy="1415415"/>
            <wp:effectExtent l="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Grp="0" noSelect="0" noChangeAspect="1" noMove="0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sz w:val="24"/>
          <w:szCs w:val="24"/>
          <w:lang w:val="ru-RU"/>
        </w:rPr>
        <w:t>(Рис.1)</w:t>
      </w:r>
    </w:p>
    <w:p>
      <w:pPr>
        <w:shd w:val="clear" w:color="auto" w:fill="ffffff"/>
        <w:spacing w:before="100" w:after="100" w:line="240" w:lineRule="auto"/>
        <w:ind w:firstLine="720"/>
        <w:rPr>
          <w:rFonts w:ascii="Times New Roman" w:cs="Times New Roman" w:hAnsi="Times New Roman"/>
          <w:sz w:val="24"/>
          <w:szCs w:val="24"/>
          <w:lang w:val="ru-RU"/>
        </w:rPr>
      </w:pPr>
      <w:r>
        <w:rPr>
          <w:rFonts w:ascii="Times New Roman" w:cs="Times New Roman" w:hAnsi="Times New Roman"/>
          <w:sz w:val="24"/>
          <w:szCs w:val="24"/>
          <w:lang w:val="ru-RU"/>
        </w:rPr>
        <w:t xml:space="preserve">Очень удобно использовать этот метод для запоминания лексики, особенно в самом начале обучения языку. </w:t>
      </w:r>
    </w:p>
    <w:p>
      <w:pPr>
        <w:shd w:val="clear" w:color="auto" w:fill="ffffff"/>
        <w:spacing w:before="100" w:after="100" w:line="240" w:lineRule="auto"/>
        <w:ind w:firstLine="720"/>
        <w:rPr>
          <w:rFonts w:ascii="Times New Roman" w:cs="Times New Roman" w:hAnsi="Times New Roman"/>
          <w:sz w:val="24"/>
          <w:szCs w:val="24"/>
          <w:lang w:val="ru-RU"/>
        </w:rPr>
      </w:pPr>
      <w:r>
        <w:rPr>
          <w:rFonts w:ascii="Times New Roman" w:cs="Times New Roman" w:hAnsi="Times New Roman"/>
          <w:sz w:val="24"/>
          <w:szCs w:val="24"/>
        </w:rPr>
        <w:drawing xmlns:mc="http://schemas.openxmlformats.org/markup-compatibility/2006">
          <wp:inline distT="0" distB="0" distL="0" distR="0">
            <wp:extent cx="1844675" cy="1759585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Grp="0" noSelect="0" noChangeAspect="1" noMove="0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sz w:val="24"/>
          <w:szCs w:val="24"/>
          <w:lang w:val="ru-RU"/>
        </w:rPr>
        <w:t>(Рис.2)</w:t>
      </w:r>
    </w:p>
    <w:p>
      <w:pPr>
        <w:shd w:val="clear" w:color="auto" w:fill="ffffff"/>
        <w:spacing w:before="100" w:after="100" w:line="240" w:lineRule="auto"/>
        <w:ind w:firstLine="720"/>
        <w:rPr>
          <w:rFonts w:ascii="Times New Roman" w:cs="Times New Roman" w:hAnsi="Times New Roman"/>
          <w:sz w:val="24"/>
          <w:szCs w:val="24"/>
          <w:lang w:val="ru-RU"/>
        </w:rPr>
      </w:pPr>
    </w:p>
    <w:p>
      <w:pPr>
        <w:shd w:val="clear" w:color="auto" w:fill="ffffff"/>
        <w:spacing w:before="100" w:after="100" w:line="240" w:lineRule="auto"/>
        <w:ind w:firstLine="720"/>
        <w:rPr>
          <w:rFonts w:ascii="Times New Roman" w:cs="Times New Roman" w:hAnsi="Times New Roman"/>
          <w:sz w:val="24"/>
          <w:szCs w:val="24"/>
          <w:lang w:val="ru-RU"/>
        </w:rPr>
      </w:pPr>
    </w:p>
    <w:p>
      <w:pPr>
        <w:shd w:val="clear" w:color="auto" w:fill="ffffff"/>
        <w:spacing w:before="100" w:after="100" w:line="240" w:lineRule="auto"/>
        <w:ind w:firstLine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  <w:lang w:val="ru-RU"/>
        </w:rPr>
        <w:t xml:space="preserve">Также детям нравится </w:t>
      </w:r>
      <w:r>
        <w:rPr>
          <w:rFonts w:ascii="Times New Roman" w:cs="Times New Roman" w:hAnsi="Times New Roman"/>
          <w:sz w:val="24"/>
          <w:szCs w:val="24"/>
          <w:lang w:val="ru-RU"/>
        </w:rPr>
        <w:t>схематично обозначать слова из новой лексики. Например во втором классе, изучая тему “Индейская деревня” дети записывали слова и зарисовывали предмет, обозначающий это слово. (Рис.2)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sz w:val="24"/>
          <w:szCs w:val="24"/>
          <w:lang w:val="ru-RU"/>
        </w:rPr>
      </w:pPr>
      <w:r>
        <w:rPr>
          <w:rFonts w:ascii="Times New Roman" w:cs="Times New Roman" w:hAnsi="Times New Roman"/>
          <w:sz w:val="24"/>
          <w:szCs w:val="24"/>
          <w:lang w:val="ru-RU"/>
        </w:rPr>
        <w:drawing xmlns:mc="http://schemas.openxmlformats.org/markup-compatibility/2006">
          <wp:inline distT="0" distB="0" distL="0" distR="0">
            <wp:extent cx="3046730" cy="1237615"/>
            <wp:effectExtent l="0" t="0" r="0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Grp="0" noSelect="0" noChangeAspect="1" noMove="0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sz w:val="24"/>
          <w:szCs w:val="24"/>
          <w:lang w:val="ru-RU"/>
        </w:rPr>
        <w:t>(Рис.3)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sz w:val="24"/>
          <w:szCs w:val="24"/>
          <w:lang w:val="ru-RU"/>
        </w:rPr>
      </w:pP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4"/>
          <w:szCs w:val="24"/>
          <w:lang w:val="ru-RU"/>
        </w:rPr>
        <w:sectPr>
          <w:type w:val="continuous"/>
          <w:pgMar w:top="567" w:right="624" w:bottom="567" w:left="567"/>
          <w:cols w:num="2"/>
        </w:sectPr>
      </w:pPr>
      <w:r>
        <w:rPr>
          <w:rFonts w:ascii="Times New Roman" w:cs="Times New Roman" w:hAnsi="Times New Roman"/>
          <w:sz w:val="24"/>
          <w:szCs w:val="24"/>
          <w:lang w:val="ru-RU"/>
        </w:rPr>
        <w:t xml:space="preserve">Для развития творческих навыков  и формирования мотивации </w:t>
      </w:r>
      <w:r>
        <w:rPr>
          <w:rFonts w:ascii="Times New Roman" w:cs="Times New Roman" w:hAnsi="Times New Roman"/>
          <w:sz w:val="24"/>
          <w:szCs w:val="24"/>
          <w:lang w:val="ru-RU"/>
        </w:rPr>
        <w:t xml:space="preserve">к изучению иностранного языка, все чаще педагоги прибегают к проектной деятельности. Первые проекты мы начинаем делать уже во втором классе. 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 xml:space="preserve">При этом они узнают о правилах оформления проекта: наличие заголовка, автора проекта, класс, аккуратное оформление. 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ru-RU"/>
        </w:rPr>
        <w:t>П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роекты учащиеся выполняют на альбомных листах формата А4.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 xml:space="preserve"> (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ru-RU"/>
        </w:rPr>
        <w:t>Рис.3)</w:t>
      </w:r>
    </w:p>
    <w:p>
      <w:pPr>
        <w:shd w:val="clear" w:color="auto" w:fill="ffffff"/>
        <w:spacing w:before="100" w:after="100" w:line="240" w:lineRule="auto"/>
        <w:ind w:firstLine="720"/>
        <w:rPr>
          <w:rFonts w:ascii="Times New Roman" w:cs="Times New Roman" w:hAnsi="Times New Roman"/>
          <w:color w:val="000000"/>
          <w:sz w:val="24"/>
          <w:szCs w:val="24"/>
          <w:lang w:val="ru-RU"/>
        </w:rPr>
      </w:pPr>
    </w:p>
    <w:p>
      <w:pPr>
        <w:shd w:val="clear" w:color="auto" w:fill="ffffff"/>
        <w:spacing w:before="100" w:after="100" w:line="240" w:lineRule="auto"/>
        <w:ind w:firstLine="720"/>
        <w:rPr>
          <w:rFonts w:ascii="Times New Roman" w:cs="Times New Roman" w:hAnsi="Times New Roman"/>
          <w:b w:val="off"/>
          <w:bCs w:val="off"/>
          <w:i w:val="off"/>
          <w:iCs w:val="off"/>
          <w:color w:val="000000"/>
          <w:sz w:val="24"/>
          <w:szCs w:val="24"/>
          <w:lang w:val="en-US"/>
        </w:rPr>
      </w:pPr>
      <w:r>
        <w:rPr>
          <w:rFonts w:ascii="Times New Roman" w:cs="Times New Roman" w:hAnsi="Times New Roman"/>
          <w:color w:val="000000"/>
          <w:sz w:val="24"/>
          <w:szCs w:val="24"/>
          <w:lang w:val="ru-RU"/>
        </w:rPr>
        <w:t xml:space="preserve">Также очень популярным приемом является </w:t>
      </w:r>
      <w:r>
        <w:rPr>
          <w:rFonts w:ascii="Times New Roman" w:cs="Times New Roman" w:hAnsi="Times New Roman"/>
          <w:b/>
          <w:sz w:val="24"/>
          <w:szCs w:val="24"/>
        </w:rPr>
        <w:t>«Карусель»</w:t>
      </w:r>
      <w:r>
        <w:rPr>
          <w:rFonts w:ascii="Times New Roman" w:cs="Times New Roman" w:hAnsi="Times New Roman"/>
          <w:b/>
          <w:sz w:val="24"/>
          <w:szCs w:val="24"/>
        </w:rPr>
        <w:t> (“</w:t>
      </w:r>
      <w:r>
        <w:rPr>
          <w:rFonts w:ascii="Times New Roman" w:cs="Times New Roman" w:hAnsi="Times New Roman"/>
          <w:b/>
          <w:sz w:val="24"/>
          <w:szCs w:val="24"/>
        </w:rPr>
        <w:t>Merry</w:t>
      </w:r>
      <w:r>
        <w:rPr>
          <w:rFonts w:ascii="Times New Roman" w:cs="Times New Roman" w:hAnsi="Times New Roman"/>
          <w:b/>
          <w:sz w:val="24"/>
          <w:szCs w:val="24"/>
        </w:rPr>
        <w:t xml:space="preserve"> </w:t>
      </w:r>
      <w:r>
        <w:rPr>
          <w:rFonts w:ascii="Times New Roman" w:cs="Times New Roman" w:hAnsi="Times New Roman"/>
          <w:b/>
          <w:sz w:val="24"/>
          <w:szCs w:val="24"/>
        </w:rPr>
        <w:t>Go</w:t>
      </w:r>
      <w:r>
        <w:rPr>
          <w:rFonts w:ascii="Times New Roman" w:cs="Times New Roman" w:hAnsi="Times New Roman"/>
          <w:b/>
          <w:sz w:val="24"/>
          <w:szCs w:val="24"/>
        </w:rPr>
        <w:t xml:space="preserve"> </w:t>
      </w:r>
      <w:r>
        <w:rPr>
          <w:rFonts w:ascii="Times New Roman" w:cs="Times New Roman" w:hAnsi="Times New Roman"/>
          <w:b/>
          <w:sz w:val="24"/>
          <w:szCs w:val="24"/>
        </w:rPr>
        <w:t>Round</w:t>
      </w:r>
      <w:r>
        <w:rPr>
          <w:rFonts w:ascii="Times New Roman" w:cs="Times New Roman" w:hAnsi="Times New Roman"/>
          <w:b/>
          <w:sz w:val="24"/>
          <w:szCs w:val="24"/>
        </w:rPr>
        <w:t>”)</w:t>
      </w:r>
      <w:r>
        <w:rPr>
          <w:rFonts w:ascii="Times New Roman" w:cs="Times New Roman" w:hAnsi="Times New Roman"/>
          <w:b/>
          <w:sz w:val="24"/>
          <w:szCs w:val="24"/>
          <w:lang w:val="ru-RU"/>
        </w:rPr>
        <w:t xml:space="preserve">, 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4"/>
          <w:szCs w:val="24"/>
          <w:lang w:val="ru-RU"/>
        </w:rPr>
        <w:t>который позволяет задействовать память и образное мышление.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b w:val="off"/>
          <w:bCs w:val="off"/>
          <w:i w:val="off"/>
          <w:iCs w:val="off"/>
          <w:color w:val="2b2b2b"/>
          <w:sz w:val="24"/>
          <w:szCs w:val="24"/>
          <w:shd w:val="clear" w:color="auto" w:fill="ffffff"/>
          <w:lang w:val="ru-RU"/>
        </w:rPr>
        <w:t>У</w:t>
      </w:r>
      <w:r>
        <w:rPr>
          <w:rFonts w:ascii="Times New Roman" w:cs="Times New Roman" w:eastAsia="Times New Roman" w:hAnsi="Times New Roman"/>
          <w:b w:val="off"/>
          <w:bCs w:val="off"/>
          <w:i w:val="off"/>
          <w:iCs w:val="off"/>
          <w:color w:val="2b2b2b"/>
          <w:sz w:val="24"/>
          <w:szCs w:val="24"/>
          <w:lang w:eastAsia="ru-RU"/>
        </w:rPr>
        <w:t xml:space="preserve">чащийся получает карточку от учителя и называет ассоциации, которые у него возникают с этим словом. Карточка передается по цепочке до тех пор, пока не вернется к учителю. </w:t>
      </w:r>
      <w:r>
        <w:rPr>
          <w:rFonts w:ascii="Times New Roman" w:cs="Times New Roman" w:eastAsia="Times New Roman" w:hAnsi="Times New Roman"/>
          <w:b w:val="off"/>
          <w:bCs w:val="off"/>
          <w:i w:val="off"/>
          <w:iCs w:val="off"/>
          <w:color w:val="2b2b2b"/>
          <w:sz w:val="24"/>
          <w:szCs w:val="24"/>
          <w:lang w:val="ru-RU" w:eastAsia="ru-RU"/>
        </w:rPr>
        <w:t>Каждый ученик может быстро высказать свое мнение.</w:t>
      </w:r>
    </w:p>
    <w:p>
      <w:pPr>
        <w:spacing w:after="150" w:line="240" w:lineRule="auto"/>
        <w:rPr>
          <w:rFonts w:ascii="Times New Roman" w:cs="Times New Roman" w:eastAsia="Times New Roman" w:hAnsi="Times New Roman"/>
          <w:color w:val="2b2b2b"/>
          <w:sz w:val="24"/>
          <w:szCs w:val="24"/>
          <w:lang w:eastAsia="ru-RU"/>
        </w:rPr>
      </w:pPr>
      <w:r>
        <w:rPr>
          <w:rFonts w:ascii="Times New Roman" w:cs="Times New Roman" w:hAnsi="Times New Roman"/>
          <w:b w:val="off"/>
          <w:bCs w:val="off"/>
          <w:i w:val="off"/>
          <w:iCs w:val="off"/>
          <w:sz w:val="24"/>
          <w:szCs w:val="24"/>
          <w:lang w:val="ru-RU"/>
        </w:rPr>
        <w:tab/>
        <w:t xml:space="preserve">Использование </w:t>
      </w:r>
      <w:r>
        <w:rPr>
          <w:rFonts w:ascii="Times New Roman" w:cs="Times New Roman" w:hAnsi="Times New Roman"/>
          <w:b/>
          <w:bCs/>
          <w:i w:val="off"/>
          <w:iCs w:val="off"/>
          <w:sz w:val="24"/>
          <w:szCs w:val="24"/>
          <w:lang w:val="ru-RU"/>
        </w:rPr>
        <w:t>аудио или видеосюжета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4"/>
          <w:szCs w:val="24"/>
          <w:lang w:val="ru-RU"/>
        </w:rPr>
        <w:t>.</w:t>
      </w:r>
      <w:r>
        <w:rPr>
          <w:rFonts w:ascii="Arial" w:cs="Arial" w:hAnsi="Arial"/>
          <w:b/>
          <w:sz w:val="24"/>
          <w:szCs w:val="20"/>
        </w:rPr>
        <w:t xml:space="preserve"> </w:t>
      </w:r>
      <w:r>
        <w:rPr>
          <w:rFonts w:ascii="Times New Roman" w:cs="Times New Roman" w:eastAsia="Times New Roman" w:hAnsi="Times New Roman"/>
          <w:color w:val="2b2b2b"/>
          <w:sz w:val="24"/>
          <w:szCs w:val="24"/>
          <w:lang w:eastAsia="ru-RU"/>
        </w:rPr>
        <w:t>После</w:t>
      </w:r>
      <w:r>
        <w:rPr>
          <w:rFonts w:ascii="Times New Roman" w:cs="Times New Roman" w:eastAsia="Times New Roman" w:hAnsi="Times New Roman"/>
          <w:color w:val="2b2b2b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2b2b2b"/>
          <w:sz w:val="24"/>
          <w:szCs w:val="24"/>
          <w:lang w:eastAsia="ru-RU"/>
        </w:rPr>
        <w:t>прослушивания</w:t>
      </w:r>
      <w:r>
        <w:rPr>
          <w:rFonts w:ascii="Times New Roman" w:cs="Times New Roman" w:eastAsia="Times New Roman" w:hAnsi="Times New Roman"/>
          <w:color w:val="2b2b2b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2b2b2b"/>
          <w:sz w:val="24"/>
          <w:szCs w:val="24"/>
          <w:lang w:eastAsia="ru-RU"/>
        </w:rPr>
        <w:t>фрагмента</w:t>
      </w:r>
      <w:r>
        <w:rPr>
          <w:rFonts w:ascii="Times New Roman" w:cs="Times New Roman" w:eastAsia="Times New Roman" w:hAnsi="Times New Roman"/>
          <w:color w:val="2b2b2b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2b2b2b"/>
          <w:sz w:val="24"/>
          <w:szCs w:val="24"/>
          <w:lang w:eastAsia="ru-RU"/>
        </w:rPr>
        <w:t>записи</w:t>
      </w:r>
      <w:r>
        <w:rPr>
          <w:rFonts w:ascii="Times New Roman" w:cs="Times New Roman" w:eastAsia="Times New Roman" w:hAnsi="Times New Roman"/>
          <w:color w:val="2b2b2b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2b2b2b"/>
          <w:sz w:val="24"/>
          <w:szCs w:val="24"/>
          <w:lang w:eastAsia="ru-RU"/>
        </w:rPr>
        <w:t>или</w:t>
      </w:r>
      <w:r>
        <w:rPr>
          <w:rFonts w:ascii="Times New Roman" w:cs="Times New Roman" w:eastAsia="Times New Roman" w:hAnsi="Times New Roman"/>
          <w:color w:val="2b2b2b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2b2b2b"/>
          <w:sz w:val="24"/>
          <w:szCs w:val="24"/>
          <w:lang w:eastAsia="ru-RU"/>
        </w:rPr>
        <w:t>просмотра</w:t>
      </w:r>
      <w:r>
        <w:rPr>
          <w:rFonts w:ascii="Times New Roman" w:cs="Times New Roman" w:eastAsia="Times New Roman" w:hAnsi="Times New Roman"/>
          <w:color w:val="2b2b2b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2b2b2b"/>
          <w:sz w:val="24"/>
          <w:szCs w:val="24"/>
          <w:lang w:eastAsia="ru-RU"/>
        </w:rPr>
        <w:t>фильма</w:t>
      </w:r>
      <w:r>
        <w:rPr>
          <w:rFonts w:ascii="Times New Roman" w:cs="Times New Roman" w:eastAsia="Times New Roman" w:hAnsi="Times New Roman"/>
          <w:color w:val="2b2b2b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2b2b2b"/>
          <w:sz w:val="24"/>
          <w:szCs w:val="24"/>
          <w:lang w:eastAsia="ru-RU"/>
        </w:rPr>
        <w:t>учитель</w:t>
      </w:r>
      <w:r>
        <w:rPr>
          <w:rFonts w:ascii="Times New Roman" w:cs="Times New Roman" w:eastAsia="Times New Roman" w:hAnsi="Times New Roman"/>
          <w:color w:val="2b2b2b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2b2b2b"/>
          <w:sz w:val="24"/>
          <w:szCs w:val="24"/>
          <w:lang w:eastAsia="ru-RU"/>
        </w:rPr>
        <w:t>с</w:t>
      </w:r>
      <w:r>
        <w:rPr>
          <w:rFonts w:ascii="Times New Roman" w:cs="Times New Roman" w:eastAsia="Times New Roman" w:hAnsi="Times New Roman"/>
          <w:color w:val="2b2b2b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2b2b2b"/>
          <w:sz w:val="24"/>
          <w:szCs w:val="24"/>
          <w:lang w:eastAsia="ru-RU"/>
        </w:rPr>
        <w:t>помощью</w:t>
      </w:r>
      <w:r>
        <w:rPr>
          <w:rFonts w:ascii="Times New Roman" w:cs="Times New Roman" w:eastAsia="Times New Roman" w:hAnsi="Times New Roman"/>
          <w:color w:val="2b2b2b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2b2b2b"/>
          <w:sz w:val="24"/>
          <w:szCs w:val="24"/>
          <w:lang w:eastAsia="ru-RU"/>
        </w:rPr>
        <w:t>обсуждения</w:t>
      </w:r>
      <w:r>
        <w:rPr>
          <w:rFonts w:ascii="Times New Roman" w:cs="Times New Roman" w:eastAsia="Times New Roman" w:hAnsi="Times New Roman"/>
          <w:color w:val="2b2b2b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2b2b2b"/>
          <w:sz w:val="24"/>
          <w:szCs w:val="24"/>
          <w:lang w:eastAsia="ru-RU"/>
        </w:rPr>
        <w:t>подводит</w:t>
      </w:r>
      <w:r>
        <w:rPr>
          <w:rFonts w:ascii="Times New Roman" w:cs="Times New Roman" w:eastAsia="Times New Roman" w:hAnsi="Times New Roman"/>
          <w:color w:val="2b2b2b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2b2b2b"/>
          <w:sz w:val="24"/>
          <w:szCs w:val="24"/>
          <w:lang w:eastAsia="ru-RU"/>
        </w:rPr>
        <w:t>учащихся</w:t>
      </w:r>
      <w:r>
        <w:rPr>
          <w:rFonts w:ascii="Times New Roman" w:cs="Times New Roman" w:eastAsia="Times New Roman" w:hAnsi="Times New Roman"/>
          <w:color w:val="2b2b2b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2b2b2b"/>
          <w:sz w:val="24"/>
          <w:szCs w:val="24"/>
          <w:lang w:eastAsia="ru-RU"/>
        </w:rPr>
        <w:t>к</w:t>
      </w:r>
      <w:r>
        <w:rPr>
          <w:rFonts w:ascii="Times New Roman" w:cs="Times New Roman" w:eastAsia="Times New Roman" w:hAnsi="Times New Roman"/>
          <w:color w:val="2b2b2b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2b2b2b"/>
          <w:sz w:val="24"/>
          <w:szCs w:val="24"/>
          <w:lang w:eastAsia="ru-RU"/>
        </w:rPr>
        <w:t>формулировке</w:t>
      </w:r>
      <w:r>
        <w:rPr>
          <w:rFonts w:ascii="Times New Roman" w:cs="Times New Roman" w:eastAsia="Times New Roman" w:hAnsi="Times New Roman"/>
          <w:color w:val="2b2b2b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2b2b2b"/>
          <w:sz w:val="24"/>
          <w:szCs w:val="24"/>
          <w:lang w:eastAsia="ru-RU"/>
        </w:rPr>
        <w:t>конкретных</w:t>
      </w:r>
      <w:r>
        <w:rPr>
          <w:rFonts w:ascii="Times New Roman" w:cs="Times New Roman" w:eastAsia="Times New Roman" w:hAnsi="Times New Roman"/>
          <w:color w:val="2b2b2b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2b2b2b"/>
          <w:sz w:val="24"/>
          <w:szCs w:val="24"/>
          <w:lang w:eastAsia="ru-RU"/>
        </w:rPr>
        <w:t>целей</w:t>
      </w:r>
      <w:r>
        <w:rPr>
          <w:rFonts w:ascii="Times New Roman" w:cs="Times New Roman" w:eastAsia="Times New Roman" w:hAnsi="Times New Roman"/>
          <w:color w:val="2b2b2b"/>
          <w:sz w:val="24"/>
          <w:szCs w:val="24"/>
          <w:lang w:eastAsia="ru-RU"/>
        </w:rPr>
        <w:t xml:space="preserve">, </w:t>
      </w:r>
      <w:r>
        <w:rPr>
          <w:rFonts w:ascii="Times New Roman" w:cs="Times New Roman" w:eastAsia="Times New Roman" w:hAnsi="Times New Roman"/>
          <w:color w:val="2b2b2b"/>
          <w:sz w:val="24"/>
          <w:szCs w:val="24"/>
          <w:lang w:eastAsia="ru-RU"/>
        </w:rPr>
        <w:t>задач</w:t>
      </w:r>
      <w:r>
        <w:rPr>
          <w:rFonts w:ascii="Times New Roman" w:cs="Times New Roman" w:eastAsia="Times New Roman" w:hAnsi="Times New Roman"/>
          <w:color w:val="2b2b2b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2b2b2b"/>
          <w:sz w:val="24"/>
          <w:szCs w:val="24"/>
          <w:lang w:eastAsia="ru-RU"/>
        </w:rPr>
        <w:t>или</w:t>
      </w:r>
      <w:r>
        <w:rPr>
          <w:rFonts w:ascii="Times New Roman" w:cs="Times New Roman" w:eastAsia="Times New Roman" w:hAnsi="Times New Roman"/>
          <w:color w:val="2b2b2b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2b2b2b"/>
          <w:sz w:val="24"/>
          <w:szCs w:val="24"/>
          <w:lang w:eastAsia="ru-RU"/>
        </w:rPr>
        <w:t>темы</w:t>
      </w:r>
      <w:r>
        <w:rPr>
          <w:rFonts w:ascii="Times New Roman" w:cs="Times New Roman" w:eastAsia="Times New Roman" w:hAnsi="Times New Roman"/>
          <w:color w:val="2b2b2b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2b2b2b"/>
          <w:sz w:val="24"/>
          <w:szCs w:val="24"/>
          <w:lang w:eastAsia="ru-RU"/>
        </w:rPr>
        <w:t>урока</w:t>
      </w:r>
      <w:r>
        <w:rPr>
          <w:rFonts w:ascii="Times New Roman" w:cs="Times New Roman" w:eastAsia="Times New Roman" w:hAnsi="Times New Roman"/>
          <w:color w:val="2b2b2b"/>
          <w:sz w:val="24"/>
          <w:szCs w:val="24"/>
          <w:lang w:eastAsia="ru-RU"/>
        </w:rPr>
        <w:t xml:space="preserve">. </w:t>
      </w:r>
      <w:r>
        <w:rPr>
          <w:rFonts w:ascii="Times New Roman" w:cs="Times New Roman" w:eastAsia="Times New Roman" w:hAnsi="Times New Roman"/>
          <w:color w:val="2b2b2b"/>
          <w:sz w:val="24"/>
          <w:szCs w:val="24"/>
          <w:lang w:val="ru-RU" w:eastAsia="ru-RU"/>
        </w:rPr>
        <w:t>Музыка и пение помогаю более прочному усвоению и расширению лексического запаса, так как песенные тексты включают новые слова и выражения.</w:t>
      </w:r>
    </w:p>
    <w:p>
      <w:pPr>
        <w:spacing w:after="150" w:line="240" w:lineRule="auto"/>
        <w:ind w:firstLine="720"/>
        <w:rPr>
          <w:rFonts w:ascii="Times New Roman" w:cs="Times New Roman" w:eastAsia="Times New Roman" w:hAnsi="Times New Roman"/>
          <w:color w:val="2b2b2b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color w:val="2b2b2b"/>
          <w:sz w:val="24"/>
          <w:szCs w:val="24"/>
          <w:lang w:val="ru-RU" w:eastAsia="ru-RU"/>
        </w:rPr>
        <w:t>Стоит отметить</w:t>
      </w:r>
      <w:r>
        <w:rPr>
          <w:rFonts w:ascii="Times New Roman" w:cs="Times New Roman" w:eastAsia="Times New Roman" w:hAnsi="Times New Roman"/>
          <w:color w:val="2b2b2b"/>
          <w:sz w:val="24"/>
          <w:szCs w:val="24"/>
          <w:lang w:val="ru-RU" w:eastAsia="ru-RU"/>
        </w:rPr>
        <w:t xml:space="preserve">, что младшие школьники быстро утомляются, поэтому необходимо  чередовать разные виды деятельности на уроке: зарядка, динамические паузы, игры, соревнования, проекты и другое. Важным условием эффективности урока является поддержание доброжелательной обстановки, располагающей к общению и позволяющей детям испытывать чувство успеха. </w:t>
      </w:r>
    </w:p>
    <w:p>
      <w:pPr>
        <w:shd w:val="clear" w:color="auto" w:fill="ffffff"/>
        <w:spacing w:before="100" w:after="100" w:line="240" w:lineRule="auto"/>
        <w:ind w:firstLine="720"/>
        <w:rPr>
          <w:rFonts w:ascii="Times New Roman" w:cs="Times New Roman" w:hAnsi="Times New Roman"/>
          <w:b w:val="off"/>
          <w:bCs w:val="off"/>
          <w:i w:val="off"/>
          <w:iCs w:val="off"/>
          <w:sz w:val="24"/>
          <w:szCs w:val="24"/>
          <w:lang w:val="ru-RU"/>
        </w:rPr>
      </w:pPr>
      <w:r>
        <w:rPr>
          <w:rFonts w:ascii="Times New Roman" w:cs="Times New Roman" w:hAnsi="Times New Roman"/>
          <w:b w:val="off"/>
          <w:bCs w:val="off"/>
          <w:i w:val="off"/>
          <w:iCs w:val="off"/>
          <w:sz w:val="24"/>
          <w:szCs w:val="24"/>
          <w:lang w:val="ru-RU"/>
        </w:rPr>
        <w:t xml:space="preserve">Исследовательская деятельность учащихся школы  предусматривает достижение следующих учебных и воспитательных задач: развитие творческих способностей учащихся и выработка у них исследовательских навыков; формирование аналитического и критического мышления учащихся в процессе творческого поиска и выполнения учебных исследований; выявление одарённых учащихся и обеспечение реализации их творческого потенциала; воспитание целеустремлённости и системности в учебной деятельности; помощь в профессиональной ориентации; самоутверждение учащихся благодаря достижению поставленной цели. </w:t>
      </w:r>
    </w:p>
    <w:p>
      <w:pPr>
        <w:shd w:val="clear" w:color="auto" w:fill="ffffff"/>
        <w:spacing w:before="100" w:after="100" w:line="240" w:lineRule="auto"/>
        <w:ind w:firstLine="720"/>
        <w:rPr>
          <w:rFonts w:ascii="Times New Roman" w:cs="Times New Roman" w:hAnsi="Times New Roman"/>
          <w:b w:val="off"/>
          <w:bCs w:val="off"/>
          <w:i w:val="off"/>
          <w:iCs w:val="off"/>
          <w:sz w:val="24"/>
          <w:szCs w:val="24"/>
        </w:rPr>
      </w:pPr>
      <w:r>
        <w:rPr>
          <w:rFonts w:ascii="Times New Roman" w:cs="Times New Roman" w:hAnsi="Times New Roman"/>
          <w:b w:val="off"/>
          <w:bCs w:val="off"/>
          <w:i w:val="off"/>
          <w:iCs w:val="off"/>
          <w:sz w:val="24"/>
          <w:szCs w:val="24"/>
          <w:lang w:val="ru-RU"/>
        </w:rPr>
        <w:t xml:space="preserve">В заключении 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4"/>
          <w:szCs w:val="24"/>
          <w:lang w:val="ru-RU"/>
        </w:rPr>
        <w:t>хотелось сказать,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4"/>
          <w:szCs w:val="24"/>
          <w:lang w:val="ru-RU"/>
        </w:rPr>
        <w:t xml:space="preserve"> что школа не в 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4"/>
          <w:szCs w:val="24"/>
          <w:lang w:val="ru-RU"/>
        </w:rPr>
        <w:t xml:space="preserve">силах 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4"/>
          <w:szCs w:val="24"/>
          <w:lang w:val="ru-RU"/>
        </w:rPr>
        <w:t xml:space="preserve">обеспечить ученика знаниями на всю жизнь, она должна вооружить его методами познания, сформировать познавательную самостоятельность. Привлечение учащихся к выполнению творческих исследовательских работ  способствует развитию целеустремленности, трудолюбия, формированию стремления к познанию. 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4"/>
          <w:szCs w:val="24"/>
          <w:lang w:val="ru-RU"/>
        </w:rPr>
        <w:t>Никакая деятельность не может заменить ученику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4"/>
          <w:szCs w:val="24"/>
          <w:lang w:val="ru-RU"/>
        </w:rPr>
        <w:t xml:space="preserve"> наслаждени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4"/>
          <w:szCs w:val="24"/>
          <w:lang w:val="ru-RU"/>
        </w:rPr>
        <w:t>е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4"/>
          <w:szCs w:val="24"/>
          <w:lang w:val="ru-RU"/>
        </w:rPr>
        <w:t xml:space="preserve"> от собственного творчества, которое  стимулирует процесс мышления, 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4"/>
          <w:szCs w:val="24"/>
          <w:lang w:val="ru-RU"/>
        </w:rPr>
        <w:t xml:space="preserve">доставляет радость, 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4"/>
          <w:szCs w:val="24"/>
          <w:lang w:val="ru-RU"/>
        </w:rPr>
        <w:t xml:space="preserve">показывает внутреннюю красоту познания и 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4"/>
          <w:szCs w:val="24"/>
          <w:lang w:val="ru-RU"/>
        </w:rPr>
        <w:t>способствует удовлетворению эстетических потребностей.</w:t>
      </w:r>
    </w:p>
    <w:sectPr>
      <w:type w:val="continuous"/>
      <w:pgMar w:top="567" w:right="624" w:bottom="567" w:left="567"/>
      <w:cols w:num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8" w:usb3="00000000" w:csb0="000001ff" w:csb1="00000000"/>
  </w:font>
  <w:font w:name="Calibri">
    <w:panose1 w:val="020f0502020204030204"/>
    <w:charset w:val="00"/>
    <w:family w:val="swiss"/>
    <w:pitch w:val="variable"/>
    <w:sig w:usb0="00000000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00000000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00000000" w:usb2="00000008" w:usb3="00000000" w:csb0="000001ff" w:csb1="00000000"/>
  </w:font>
  <w:font w:name="Verdana">
    <w:panose1 w:val="020b0604030504040204"/>
    <w:charset w:val="00"/>
    <w:family w:val="roman"/>
    <w:pitch w:val="variable"/>
    <w:sig w:usb0="00000000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helvetica neue">
    <w:charset w:val="00"/>
  </w:font>
  <w:font w:name="Segoe UI">
    <w:charset w:val="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themeFontLang w:val="en-US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  <w:footnotePr/>
  <w:endnotePr/>
  <w:trackRevisions w:val="off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1" Type="http://schemas.openxmlformats.org/officeDocument/2006/relationships/image" Target="media/image2.png"/><Relationship Id="rId12" Type="http://schemas.openxmlformats.org/officeDocument/2006/relationships/image" Target="media/image3.jpeg"/><Relationship Id="rId13" Type="http://schemas.openxmlformats.org/officeDocument/2006/relationships/image" Target="media/image4.png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Елизавета Гертнер</dc:creator>
  <cp:lastModifiedBy>Елизавета Гертнер</cp:lastModifiedBy>
</cp:coreProperties>
</file>