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3" w:rsidRDefault="00182D63" w:rsidP="00182D63">
      <w:pPr>
        <w:jc w:val="center"/>
        <w:rPr>
          <w:rFonts w:ascii="Times New Roman" w:hAnsi="Times New Roman" w:cs="Times New Roman"/>
          <w:sz w:val="28"/>
          <w:szCs w:val="28"/>
        </w:rPr>
      </w:pPr>
      <w:r w:rsidRPr="00182D63">
        <w:rPr>
          <w:rFonts w:ascii="Times New Roman" w:hAnsi="Times New Roman" w:cs="Times New Roman"/>
          <w:sz w:val="28"/>
          <w:szCs w:val="28"/>
        </w:rPr>
        <w:t xml:space="preserve">ОРГАНИЗАЦИЯ САМОСТОЯТЕЛЬНОЙ РАБОТЫ </w:t>
      </w:r>
      <w:proofErr w:type="gramStart"/>
      <w:r w:rsidRPr="00182D63">
        <w:rPr>
          <w:rFonts w:ascii="Times New Roman" w:hAnsi="Times New Roman" w:cs="Times New Roman"/>
          <w:sz w:val="28"/>
          <w:szCs w:val="28"/>
        </w:rPr>
        <w:t>ОБУЧАЮЩИХСЯ</w:t>
      </w:r>
      <w:proofErr w:type="gramEnd"/>
      <w:r w:rsidRPr="00182D63">
        <w:rPr>
          <w:rFonts w:ascii="Times New Roman" w:hAnsi="Times New Roman" w:cs="Times New Roman"/>
          <w:sz w:val="28"/>
          <w:szCs w:val="28"/>
        </w:rPr>
        <w:t xml:space="preserve"> КАК ФОРМА ПОДГОТОВКИ К ОГЭ ПО РУССКОМУ ЯЗЫКУ</w:t>
      </w:r>
    </w:p>
    <w:p w:rsidR="00182D63" w:rsidRDefault="00182D63" w:rsidP="00182D63">
      <w:pPr>
        <w:jc w:val="right"/>
        <w:rPr>
          <w:rFonts w:ascii="Times New Roman" w:hAnsi="Times New Roman" w:cs="Times New Roman"/>
          <w:b/>
          <w:sz w:val="28"/>
          <w:szCs w:val="28"/>
        </w:rPr>
      </w:pPr>
      <w:proofErr w:type="spellStart"/>
      <w:r w:rsidRPr="00182D63">
        <w:rPr>
          <w:rFonts w:ascii="Times New Roman" w:hAnsi="Times New Roman" w:cs="Times New Roman"/>
          <w:b/>
          <w:sz w:val="28"/>
          <w:szCs w:val="28"/>
        </w:rPr>
        <w:t>Мулкаманова</w:t>
      </w:r>
      <w:proofErr w:type="spellEnd"/>
      <w:r w:rsidRPr="00182D63">
        <w:rPr>
          <w:rFonts w:ascii="Times New Roman" w:hAnsi="Times New Roman" w:cs="Times New Roman"/>
          <w:b/>
          <w:sz w:val="28"/>
          <w:szCs w:val="28"/>
        </w:rPr>
        <w:t xml:space="preserve"> Д.Р.</w:t>
      </w:r>
      <w:r>
        <w:rPr>
          <w:rFonts w:ascii="Times New Roman" w:hAnsi="Times New Roman" w:cs="Times New Roman"/>
          <w:b/>
          <w:sz w:val="28"/>
          <w:szCs w:val="28"/>
        </w:rPr>
        <w:t>,</w:t>
      </w:r>
    </w:p>
    <w:p w:rsidR="00182D63" w:rsidRDefault="00182D63" w:rsidP="00182D63">
      <w:pPr>
        <w:spacing w:after="0"/>
        <w:ind w:firstLine="567"/>
        <w:jc w:val="both"/>
        <w:rPr>
          <w:rFonts w:ascii="Times New Roman" w:hAnsi="Times New Roman" w:cs="Times New Roman"/>
          <w:sz w:val="28"/>
          <w:szCs w:val="28"/>
        </w:rPr>
      </w:pPr>
      <w:r w:rsidRPr="00182D63">
        <w:rPr>
          <w:rFonts w:ascii="Times New Roman" w:hAnsi="Times New Roman" w:cs="Times New Roman"/>
          <w:sz w:val="28"/>
          <w:szCs w:val="28"/>
        </w:rPr>
        <w:t>Современные требования к качеству образования, которое проверяется посредством государственной итоговой аттестации (ГИА), ставят перед учителем задачу эффективной подготовки выпускников основной и средней школы к данному экзамену. Данная система аттестации предоставляет объективные возможности для выработки единства требований к приоритетным результатам обучения.</w:t>
      </w:r>
      <w:r>
        <w:rPr>
          <w:rFonts w:ascii="Times New Roman" w:hAnsi="Times New Roman" w:cs="Times New Roman"/>
          <w:sz w:val="28"/>
          <w:szCs w:val="28"/>
        </w:rPr>
        <w:t xml:space="preserve"> </w:t>
      </w:r>
      <w:r w:rsidRPr="00182D63">
        <w:rPr>
          <w:rFonts w:ascii="Times New Roman" w:hAnsi="Times New Roman" w:cs="Times New Roman"/>
          <w:sz w:val="28"/>
          <w:szCs w:val="28"/>
        </w:rPr>
        <w:t xml:space="preserve">ГИА по русскому языку является обязательной для завершения уровня основного общего образования, поэтому подготовка выпускников по данному предмету имеет приоритетное значение в деятельности учителя. Однако эффективность подготовки зависит не только от системы упражнений, применяемой учителем на уроках русского языка, но и от самостоятельных усилий, прикладываемых </w:t>
      </w:r>
      <w:proofErr w:type="gramStart"/>
      <w:r w:rsidRPr="00182D63">
        <w:rPr>
          <w:rFonts w:ascii="Times New Roman" w:hAnsi="Times New Roman" w:cs="Times New Roman"/>
          <w:sz w:val="28"/>
          <w:szCs w:val="28"/>
        </w:rPr>
        <w:t>обучающимися</w:t>
      </w:r>
      <w:proofErr w:type="gramEnd"/>
      <w:r w:rsidRPr="00182D63">
        <w:rPr>
          <w:rFonts w:ascii="Times New Roman" w:hAnsi="Times New Roman" w:cs="Times New Roman"/>
          <w:sz w:val="28"/>
          <w:szCs w:val="28"/>
        </w:rPr>
        <w:t xml:space="preserve"> в процессе развития проверяемых на экзамене навыков.</w:t>
      </w:r>
    </w:p>
    <w:p w:rsidR="007C1C03" w:rsidRDefault="00182D63" w:rsidP="00182D63">
      <w:pPr>
        <w:spacing w:after="0"/>
        <w:ind w:firstLine="567"/>
        <w:jc w:val="both"/>
        <w:rPr>
          <w:rFonts w:ascii="Times New Roman" w:hAnsi="Times New Roman" w:cs="Times New Roman"/>
          <w:sz w:val="28"/>
          <w:szCs w:val="28"/>
        </w:rPr>
      </w:pPr>
      <w:proofErr w:type="gramStart"/>
      <w:r w:rsidRPr="00182D63">
        <w:rPr>
          <w:rFonts w:ascii="Times New Roman" w:hAnsi="Times New Roman" w:cs="Times New Roman"/>
          <w:sz w:val="28"/>
          <w:szCs w:val="28"/>
        </w:rPr>
        <w:t xml:space="preserve">Актуальность организации подготовки обучающихся к ОГЭ по русскому языку в форме самостоятельной работы обусловлена также тем, что самостоятельная деятельность в работе над языком лежит в </w:t>
      </w:r>
      <w:r w:rsidR="00DE47CF">
        <w:rPr>
          <w:rFonts w:ascii="Times New Roman" w:hAnsi="Times New Roman" w:cs="Times New Roman"/>
          <w:sz w:val="28"/>
          <w:szCs w:val="28"/>
        </w:rPr>
        <w:t xml:space="preserve">основе развития </w:t>
      </w:r>
      <w:proofErr w:type="spellStart"/>
      <w:r w:rsidR="00DE47CF">
        <w:rPr>
          <w:rFonts w:ascii="Times New Roman" w:hAnsi="Times New Roman" w:cs="Times New Roman"/>
          <w:sz w:val="28"/>
          <w:szCs w:val="28"/>
        </w:rPr>
        <w:t>метапредметных</w:t>
      </w:r>
      <w:proofErr w:type="spellEnd"/>
      <w:r w:rsidR="00DE47CF">
        <w:rPr>
          <w:rFonts w:ascii="Times New Roman" w:hAnsi="Times New Roman" w:cs="Times New Roman"/>
          <w:sz w:val="28"/>
          <w:szCs w:val="28"/>
        </w:rPr>
        <w:t xml:space="preserve"> </w:t>
      </w:r>
      <w:r w:rsidRPr="00182D63">
        <w:rPr>
          <w:rFonts w:ascii="Times New Roman" w:hAnsi="Times New Roman" w:cs="Times New Roman"/>
          <w:sz w:val="28"/>
          <w:szCs w:val="28"/>
        </w:rPr>
        <w:t xml:space="preserve">универсальных учебных действий, что входит в перечень образовательных результатов в соответствии с требованиями Федерального государственного образовательного стандарта основного общего образования (ФГОС ООО). </w:t>
      </w:r>
      <w:proofErr w:type="gramEnd"/>
    </w:p>
    <w:p w:rsidR="00182D63" w:rsidRDefault="00DE47CF" w:rsidP="00182D63">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t>Организация обучения предполагает проведение уроков в классе, внеурочной и внеклассной работы, а также управление самостоятельной работой по учебному предмету дома. Самостоятельная работа представляет большой интерес в плане психолого-педагогического анализа учебной деятельности школьника</w:t>
      </w:r>
      <w:r>
        <w:rPr>
          <w:rFonts w:ascii="Times New Roman" w:hAnsi="Times New Roman" w:cs="Times New Roman"/>
          <w:sz w:val="28"/>
          <w:szCs w:val="28"/>
        </w:rPr>
        <w:t>.</w:t>
      </w:r>
    </w:p>
    <w:p w:rsidR="00DE47CF" w:rsidRPr="00DE47CF" w:rsidRDefault="00DE47CF" w:rsidP="00DE47CF">
      <w:pPr>
        <w:spacing w:after="0"/>
        <w:ind w:firstLine="567"/>
        <w:jc w:val="both"/>
        <w:rPr>
          <w:rFonts w:ascii="Times New Roman" w:hAnsi="Times New Roman" w:cs="Times New Roman"/>
          <w:sz w:val="28"/>
          <w:szCs w:val="28"/>
        </w:rPr>
      </w:pPr>
      <w:proofErr w:type="gramStart"/>
      <w:r w:rsidRPr="00DE47CF">
        <w:rPr>
          <w:rFonts w:ascii="Times New Roman" w:hAnsi="Times New Roman" w:cs="Times New Roman"/>
          <w:sz w:val="28"/>
          <w:szCs w:val="28"/>
        </w:rPr>
        <w:t>Самостоятельная работа, по И.А. Зимней, предполагает выполнение обучающим</w:t>
      </w:r>
      <w:r>
        <w:rPr>
          <w:rFonts w:ascii="Times New Roman" w:hAnsi="Times New Roman" w:cs="Times New Roman"/>
          <w:sz w:val="28"/>
          <w:szCs w:val="28"/>
        </w:rPr>
        <w:t>и</w:t>
      </w:r>
      <w:r w:rsidRPr="00DE47CF">
        <w:rPr>
          <w:rFonts w:ascii="Times New Roman" w:hAnsi="Times New Roman" w:cs="Times New Roman"/>
          <w:sz w:val="28"/>
          <w:szCs w:val="28"/>
        </w:rPr>
        <w:t>ся целого</w:t>
      </w:r>
      <w:r>
        <w:rPr>
          <w:rFonts w:ascii="Times New Roman" w:hAnsi="Times New Roman" w:cs="Times New Roman"/>
          <w:sz w:val="28"/>
          <w:szCs w:val="28"/>
        </w:rPr>
        <w:t xml:space="preserve"> ряда входящих в нее действий[1</w:t>
      </w:r>
      <w:r w:rsidRPr="00DE47CF">
        <w:rPr>
          <w:rFonts w:ascii="Times New Roman" w:hAnsi="Times New Roman" w:cs="Times New Roman"/>
          <w:sz w:val="28"/>
          <w:szCs w:val="28"/>
        </w:rPr>
        <w:t xml:space="preserve">]: </w:t>
      </w:r>
      <w:proofErr w:type="gramEnd"/>
    </w:p>
    <w:p w:rsidR="00DE47CF" w:rsidRP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осознание цели своей деятельности;</w:t>
      </w:r>
    </w:p>
    <w:p w:rsidR="00DE47CF" w:rsidRP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принятие учебной задачи;</w:t>
      </w:r>
    </w:p>
    <w:p w:rsidR="00DE47CF" w:rsidRP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придание ей личностного смысла;</w:t>
      </w:r>
    </w:p>
    <w:p w:rsidR="00DE47CF" w:rsidRP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подчинение выполнению этой задачи других интересов и форм своей занятости;</w:t>
      </w:r>
    </w:p>
    <w:p w:rsidR="00DE47CF" w:rsidRP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самоорганизация в распределении учебных действий во времени;</w:t>
      </w:r>
    </w:p>
    <w:p w:rsidR="00DE47CF" w:rsidRDefault="00DE47CF" w:rsidP="00DE47CF">
      <w:pPr>
        <w:pStyle w:val="a3"/>
        <w:numPr>
          <w:ilvl w:val="0"/>
          <w:numId w:val="1"/>
        </w:numPr>
        <w:spacing w:after="0"/>
        <w:jc w:val="both"/>
        <w:rPr>
          <w:rFonts w:ascii="Times New Roman" w:hAnsi="Times New Roman" w:cs="Times New Roman"/>
          <w:sz w:val="28"/>
          <w:szCs w:val="28"/>
        </w:rPr>
      </w:pPr>
      <w:r w:rsidRPr="00DE47CF">
        <w:rPr>
          <w:rFonts w:ascii="Times New Roman" w:hAnsi="Times New Roman" w:cs="Times New Roman"/>
          <w:sz w:val="28"/>
          <w:szCs w:val="28"/>
        </w:rPr>
        <w:t>самоконтроль в их выполнении.</w:t>
      </w:r>
    </w:p>
    <w:p w:rsid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lastRenderedPageBreak/>
        <w:t xml:space="preserve">Рассмотрев возрастные особенности обучающихся в старших классах основной школы с точки зрения психологии, мы можем утверждать, что подготовка к государственной итоговой аттестации в форме самостоятельной работы отвечает психологическим особенностям детей данного возраста, способствует развитию самостоятельности, самосознания, самоопределения в учебной деятельности. Только в самостоятельной работе при подготовке к ОГЭ у </w:t>
      </w:r>
      <w:proofErr w:type="gramStart"/>
      <w:r w:rsidRPr="00DE47CF">
        <w:rPr>
          <w:rFonts w:ascii="Times New Roman" w:hAnsi="Times New Roman" w:cs="Times New Roman"/>
          <w:sz w:val="28"/>
          <w:szCs w:val="28"/>
        </w:rPr>
        <w:t>обучающихся</w:t>
      </w:r>
      <w:proofErr w:type="gramEnd"/>
      <w:r w:rsidRPr="00DE47CF">
        <w:rPr>
          <w:rFonts w:ascii="Times New Roman" w:hAnsi="Times New Roman" w:cs="Times New Roman"/>
          <w:sz w:val="28"/>
          <w:szCs w:val="28"/>
        </w:rPr>
        <w:t xml:space="preserve"> формируется понимание важности активной учебной деятельности для получении требуемого результата</w:t>
      </w:r>
      <w:r>
        <w:rPr>
          <w:rFonts w:ascii="Times New Roman" w:hAnsi="Times New Roman" w:cs="Times New Roman"/>
          <w:sz w:val="28"/>
          <w:szCs w:val="28"/>
        </w:rPr>
        <w:t>.</w:t>
      </w:r>
    </w:p>
    <w:p w:rsid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t>Самостоятельная работа в обучении русскому языку организуется дидактическими средствами и рассматривается в методике как условие достижения воспитательных и развивающих задач, а именно развития умения самостоятельно пополнять с</w:t>
      </w:r>
      <w:r>
        <w:rPr>
          <w:rFonts w:ascii="Times New Roman" w:hAnsi="Times New Roman" w:cs="Times New Roman"/>
          <w:sz w:val="28"/>
          <w:szCs w:val="28"/>
        </w:rPr>
        <w:t>вои знания по русскому языку [2</w:t>
      </w:r>
      <w:r w:rsidRPr="00DE47CF">
        <w:rPr>
          <w:rFonts w:ascii="Times New Roman" w:hAnsi="Times New Roman" w:cs="Times New Roman"/>
          <w:sz w:val="28"/>
          <w:szCs w:val="28"/>
        </w:rPr>
        <w:t xml:space="preserve">, с. 131]. Мониторинг результатов также способствует повышению качества учебной </w:t>
      </w:r>
      <w:r>
        <w:rPr>
          <w:rFonts w:ascii="Times New Roman" w:hAnsi="Times New Roman" w:cs="Times New Roman"/>
          <w:sz w:val="28"/>
          <w:szCs w:val="28"/>
        </w:rPr>
        <w:t>самостоятельной деятельности [3</w:t>
      </w:r>
      <w:r w:rsidRPr="00DE47CF">
        <w:rPr>
          <w:rFonts w:ascii="Times New Roman" w:hAnsi="Times New Roman" w:cs="Times New Roman"/>
          <w:sz w:val="28"/>
          <w:szCs w:val="28"/>
        </w:rPr>
        <w:t>]. Поэтому подготовка обучающихся к ОГЭ по русскому языку в форме самостоятельной работы включает несколько этапов.</w:t>
      </w:r>
    </w:p>
    <w:p w:rsid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t xml:space="preserve">На первом этапе подготовки обучающихся к ОГЭ в форме самостоятельной работы учитель сначала знакомит обучающихся со структурой и содержанием контрольно-измерительных материалов, создает условия для возникновения интеллектуального затруднения, рекомендует справочники, словари, пособия, а также  Интернет-ресурсы, которыми они могут воспользоваться. На втором этапе планируется работа с контрольно-измерительными материалами. Инструментом управления самостоятельной работой </w:t>
      </w:r>
      <w:proofErr w:type="gramStart"/>
      <w:r w:rsidRPr="00DE47CF">
        <w:rPr>
          <w:rFonts w:ascii="Times New Roman" w:hAnsi="Times New Roman" w:cs="Times New Roman"/>
          <w:sz w:val="28"/>
          <w:szCs w:val="28"/>
        </w:rPr>
        <w:t>обучающихся</w:t>
      </w:r>
      <w:proofErr w:type="gramEnd"/>
      <w:r w:rsidRPr="00DE47CF">
        <w:rPr>
          <w:rFonts w:ascii="Times New Roman" w:hAnsi="Times New Roman" w:cs="Times New Roman"/>
          <w:sz w:val="28"/>
          <w:szCs w:val="28"/>
        </w:rPr>
        <w:t xml:space="preserve"> выступает план. На третьем этапе осуществляется сбор сведе</w:t>
      </w:r>
      <w:r>
        <w:rPr>
          <w:rFonts w:ascii="Times New Roman" w:hAnsi="Times New Roman" w:cs="Times New Roman"/>
          <w:sz w:val="28"/>
          <w:szCs w:val="28"/>
        </w:rPr>
        <w:t xml:space="preserve">ний теоретического характера и </w:t>
      </w:r>
      <w:r w:rsidRPr="00DE47CF">
        <w:rPr>
          <w:rFonts w:ascii="Times New Roman" w:hAnsi="Times New Roman" w:cs="Times New Roman"/>
          <w:sz w:val="28"/>
          <w:szCs w:val="28"/>
        </w:rPr>
        <w:t>тренировкой в тестовых</w:t>
      </w:r>
      <w:r>
        <w:rPr>
          <w:rFonts w:ascii="Times New Roman" w:hAnsi="Times New Roman" w:cs="Times New Roman"/>
          <w:sz w:val="28"/>
          <w:szCs w:val="28"/>
        </w:rPr>
        <w:t xml:space="preserve"> </w:t>
      </w:r>
      <w:r w:rsidRPr="00DE47CF">
        <w:rPr>
          <w:rFonts w:ascii="Times New Roman" w:hAnsi="Times New Roman" w:cs="Times New Roman"/>
          <w:sz w:val="28"/>
          <w:szCs w:val="28"/>
        </w:rPr>
        <w:t>заданиях и альтернативной части КИМ. На четвертом этапе самостоятельной работы осуществляется анализ результатов проделанной работы, определение проблемных тем и заданий. Затем цикл самостоятельной работы повторяется.</w:t>
      </w:r>
    </w:p>
    <w:p w:rsidR="00FE70F9" w:rsidRDefault="00FE70F9" w:rsidP="00DE47CF">
      <w:pPr>
        <w:spacing w:after="0"/>
        <w:ind w:firstLine="567"/>
        <w:jc w:val="both"/>
        <w:rPr>
          <w:rFonts w:ascii="Times New Roman" w:hAnsi="Times New Roman" w:cs="Times New Roman"/>
          <w:sz w:val="28"/>
          <w:szCs w:val="28"/>
        </w:rPr>
      </w:pPr>
      <w:r w:rsidRPr="00FE70F9">
        <w:rPr>
          <w:rFonts w:ascii="Times New Roman" w:hAnsi="Times New Roman" w:cs="Times New Roman"/>
          <w:sz w:val="28"/>
          <w:szCs w:val="28"/>
        </w:rPr>
        <w:t xml:space="preserve">Опытно-практическую работу мы начали с анализа </w:t>
      </w:r>
      <w:proofErr w:type="spellStart"/>
      <w:r w:rsidRPr="00FE70F9">
        <w:rPr>
          <w:rFonts w:ascii="Times New Roman" w:hAnsi="Times New Roman" w:cs="Times New Roman"/>
          <w:sz w:val="28"/>
          <w:szCs w:val="28"/>
        </w:rPr>
        <w:t>УМК</w:t>
      </w:r>
      <w:proofErr w:type="gramStart"/>
      <w:r w:rsidRPr="00FE70F9">
        <w:rPr>
          <w:rFonts w:ascii="Times New Roman" w:hAnsi="Times New Roman" w:cs="Times New Roman"/>
          <w:sz w:val="28"/>
          <w:szCs w:val="28"/>
        </w:rPr>
        <w:t>«Р</w:t>
      </w:r>
      <w:proofErr w:type="gramEnd"/>
      <w:r w:rsidRPr="00FE70F9">
        <w:rPr>
          <w:rFonts w:ascii="Times New Roman" w:hAnsi="Times New Roman" w:cs="Times New Roman"/>
          <w:sz w:val="28"/>
          <w:szCs w:val="28"/>
        </w:rPr>
        <w:t>усский</w:t>
      </w:r>
      <w:proofErr w:type="spellEnd"/>
      <w:r w:rsidRPr="00FE70F9">
        <w:rPr>
          <w:rFonts w:ascii="Times New Roman" w:hAnsi="Times New Roman" w:cs="Times New Roman"/>
          <w:sz w:val="28"/>
          <w:szCs w:val="28"/>
        </w:rPr>
        <w:t xml:space="preserve"> язык» авторов Л.А. </w:t>
      </w:r>
      <w:proofErr w:type="spellStart"/>
      <w:r w:rsidRPr="00FE70F9">
        <w:rPr>
          <w:rFonts w:ascii="Times New Roman" w:hAnsi="Times New Roman" w:cs="Times New Roman"/>
          <w:sz w:val="28"/>
          <w:szCs w:val="28"/>
        </w:rPr>
        <w:t>Тростенцовой</w:t>
      </w:r>
      <w:proofErr w:type="spellEnd"/>
      <w:r w:rsidRPr="00FE70F9">
        <w:rPr>
          <w:rFonts w:ascii="Times New Roman" w:hAnsi="Times New Roman" w:cs="Times New Roman"/>
          <w:sz w:val="28"/>
          <w:szCs w:val="28"/>
        </w:rPr>
        <w:t xml:space="preserve">, Т.А. </w:t>
      </w:r>
      <w:proofErr w:type="spellStart"/>
      <w:r w:rsidRPr="00FE70F9">
        <w:rPr>
          <w:rFonts w:ascii="Times New Roman" w:hAnsi="Times New Roman" w:cs="Times New Roman"/>
          <w:sz w:val="28"/>
          <w:szCs w:val="28"/>
        </w:rPr>
        <w:t>Ладыженской</w:t>
      </w:r>
      <w:proofErr w:type="spellEnd"/>
      <w:r w:rsidRPr="00FE70F9">
        <w:rPr>
          <w:rFonts w:ascii="Times New Roman" w:hAnsi="Times New Roman" w:cs="Times New Roman"/>
          <w:sz w:val="28"/>
          <w:szCs w:val="28"/>
        </w:rPr>
        <w:t xml:space="preserve"> и др. с целью выявления соответствия ее системы организации самостоятельной работы современным требованиям к ОГЭ. Анализ материалов учебника и рабочей тетради показал, что объем заданий, посвященный фонетике, лексике, фразеологии, морфологии и словообразованию, небольшой. Большая часть упражнений посвящена пунктуации, синтаксису, речевому развитию. Орфографические навыки отрабатываются комплексно, в системе работы по названным разделам. Распределение учебных материалов в контексте подготовки к ОГЭ не пропорционально. Задания предполагают развернутые ответы. В </w:t>
      </w:r>
      <w:r w:rsidRPr="00FE70F9">
        <w:rPr>
          <w:rFonts w:ascii="Times New Roman" w:hAnsi="Times New Roman" w:cs="Times New Roman"/>
          <w:sz w:val="28"/>
          <w:szCs w:val="28"/>
        </w:rPr>
        <w:lastRenderedPageBreak/>
        <w:t xml:space="preserve">содержательном и в формальном плане учебные материалы не могут полноценно подготовить к ОГЭ по русскому языку. Актуальность организации подготовки к экзамену в форме самостоятельной работы очевидна.  </w:t>
      </w:r>
    </w:p>
    <w:p w:rsid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t xml:space="preserve">В качестве педагогического инструмента управления самостоятельной работой </w:t>
      </w:r>
      <w:proofErr w:type="gramStart"/>
      <w:r w:rsidRPr="00DE47CF">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DE47CF">
        <w:rPr>
          <w:rFonts w:ascii="Times New Roman" w:hAnsi="Times New Roman" w:cs="Times New Roman"/>
          <w:sz w:val="28"/>
          <w:szCs w:val="28"/>
        </w:rPr>
        <w:t xml:space="preserve">взят план, в качестве средства обучения  — материалы Интернет-ресурса РЕШУ ОГЭ. Такое методическое решение является оптимальным для обеспечения в первую очередь субъективности и инициативности </w:t>
      </w:r>
      <w:proofErr w:type="gramStart"/>
      <w:r w:rsidRPr="00DE47CF">
        <w:rPr>
          <w:rFonts w:ascii="Times New Roman" w:hAnsi="Times New Roman" w:cs="Times New Roman"/>
          <w:sz w:val="28"/>
          <w:szCs w:val="28"/>
        </w:rPr>
        <w:t>подготовки</w:t>
      </w:r>
      <w:proofErr w:type="gramEnd"/>
      <w:r w:rsidRPr="00DE47CF">
        <w:rPr>
          <w:rFonts w:ascii="Times New Roman" w:hAnsi="Times New Roman" w:cs="Times New Roman"/>
          <w:sz w:val="28"/>
          <w:szCs w:val="28"/>
        </w:rPr>
        <w:t xml:space="preserve"> обучающихся к ОГЭ в форме самостоятельной работы.</w:t>
      </w:r>
    </w:p>
    <w:p w:rsidR="00522D09" w:rsidRDefault="00522D09" w:rsidP="00522D09">
      <w:pPr>
        <w:spacing w:after="0"/>
        <w:ind w:firstLine="567"/>
        <w:jc w:val="both"/>
        <w:rPr>
          <w:rFonts w:ascii="Times New Roman" w:hAnsi="Times New Roman" w:cs="Times New Roman"/>
          <w:sz w:val="28"/>
          <w:szCs w:val="28"/>
        </w:rPr>
      </w:pPr>
      <w:r w:rsidRPr="007C1C03">
        <w:rPr>
          <w:rFonts w:ascii="Times New Roman" w:hAnsi="Times New Roman" w:cs="Times New Roman"/>
          <w:sz w:val="28"/>
          <w:szCs w:val="28"/>
        </w:rPr>
        <w:t xml:space="preserve">Разработанная нами методика организации подготовки </w:t>
      </w:r>
      <w:proofErr w:type="gramStart"/>
      <w:r w:rsidRPr="007C1C03">
        <w:rPr>
          <w:rFonts w:ascii="Times New Roman" w:hAnsi="Times New Roman" w:cs="Times New Roman"/>
          <w:sz w:val="28"/>
          <w:szCs w:val="28"/>
        </w:rPr>
        <w:t>обучающихся</w:t>
      </w:r>
      <w:proofErr w:type="gramEnd"/>
      <w:r w:rsidRPr="007C1C03">
        <w:rPr>
          <w:rFonts w:ascii="Times New Roman" w:hAnsi="Times New Roman" w:cs="Times New Roman"/>
          <w:sz w:val="28"/>
          <w:szCs w:val="28"/>
        </w:rPr>
        <w:t xml:space="preserve"> к ОГЭ в форме самостоятельной работы прошла частичную апробацию в период преддипломной практики. Мы провели первые 4 консультации: «ОГЭ: структура, критерии»</w:t>
      </w:r>
      <w:proofErr w:type="gramStart"/>
      <w:r w:rsidRPr="007C1C03">
        <w:rPr>
          <w:rFonts w:ascii="Times New Roman" w:hAnsi="Times New Roman" w:cs="Times New Roman"/>
          <w:sz w:val="28"/>
          <w:szCs w:val="28"/>
        </w:rPr>
        <w:t>,«</w:t>
      </w:r>
      <w:proofErr w:type="gramEnd"/>
      <w:r w:rsidRPr="007C1C03">
        <w:rPr>
          <w:rFonts w:ascii="Times New Roman" w:hAnsi="Times New Roman" w:cs="Times New Roman"/>
          <w:sz w:val="28"/>
          <w:szCs w:val="28"/>
        </w:rPr>
        <w:t>ОГЭ: пробное тестирование»,«Как подготовиться / подготовить себя к ОГЭ»,«Устное собеседование: рекомендации по написанию». В ходе эксперимента у обучающихся повысилась мотивация совершенствования знаний по русскому языку, появилась инициатива в планировании подготовки к ОГЭ. Анализ результатов частичной апробации выявил положительную динамику навыков выполнения заданий КИМ ОГЭ.</w:t>
      </w:r>
    </w:p>
    <w:p w:rsidR="00DE47CF" w:rsidRDefault="00DE47CF" w:rsidP="00522D09">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t xml:space="preserve">В начале учебного года </w:t>
      </w:r>
      <w:r w:rsidR="00522D09">
        <w:rPr>
          <w:rFonts w:ascii="Times New Roman" w:hAnsi="Times New Roman" w:cs="Times New Roman"/>
          <w:sz w:val="28"/>
          <w:szCs w:val="28"/>
        </w:rPr>
        <w:t>мы провели</w:t>
      </w:r>
      <w:r w:rsidRPr="00DE47CF">
        <w:rPr>
          <w:rFonts w:ascii="Times New Roman" w:hAnsi="Times New Roman" w:cs="Times New Roman"/>
          <w:sz w:val="28"/>
          <w:szCs w:val="28"/>
        </w:rPr>
        <w:t xml:space="preserve"> консультацию, на которой </w:t>
      </w:r>
      <w:r w:rsidR="00522D09">
        <w:rPr>
          <w:rFonts w:ascii="Times New Roman" w:hAnsi="Times New Roman" w:cs="Times New Roman"/>
          <w:sz w:val="28"/>
          <w:szCs w:val="28"/>
        </w:rPr>
        <w:t>познакомили</w:t>
      </w:r>
      <w:r w:rsidRPr="00DE47CF">
        <w:rPr>
          <w:rFonts w:ascii="Times New Roman" w:hAnsi="Times New Roman" w:cs="Times New Roman"/>
          <w:sz w:val="28"/>
          <w:szCs w:val="28"/>
        </w:rPr>
        <w:t xml:space="preserve"> обучающихся со структурой и содержанием контрольно-изм</w:t>
      </w:r>
      <w:r w:rsidR="00522D09">
        <w:rPr>
          <w:rFonts w:ascii="Times New Roman" w:hAnsi="Times New Roman" w:cs="Times New Roman"/>
          <w:sz w:val="28"/>
          <w:szCs w:val="28"/>
        </w:rPr>
        <w:t>ерительных материалов, разобрали</w:t>
      </w:r>
      <w:r w:rsidRPr="00DE47CF">
        <w:rPr>
          <w:rFonts w:ascii="Times New Roman" w:hAnsi="Times New Roman" w:cs="Times New Roman"/>
          <w:sz w:val="28"/>
          <w:szCs w:val="28"/>
        </w:rPr>
        <w:t xml:space="preserve"> выполнение отдельных заданий. </w:t>
      </w:r>
      <w:r w:rsidR="00522D09">
        <w:rPr>
          <w:rFonts w:ascii="Times New Roman" w:hAnsi="Times New Roman" w:cs="Times New Roman"/>
          <w:sz w:val="28"/>
          <w:szCs w:val="28"/>
        </w:rPr>
        <w:t>Ознакомили</w:t>
      </w:r>
      <w:r w:rsidRPr="00DE47CF">
        <w:rPr>
          <w:rFonts w:ascii="Times New Roman" w:hAnsi="Times New Roman" w:cs="Times New Roman"/>
          <w:sz w:val="28"/>
          <w:szCs w:val="28"/>
        </w:rPr>
        <w:t xml:space="preserve"> </w:t>
      </w:r>
      <w:proofErr w:type="gramStart"/>
      <w:r w:rsidRPr="00DE47CF">
        <w:rPr>
          <w:rFonts w:ascii="Times New Roman" w:hAnsi="Times New Roman" w:cs="Times New Roman"/>
          <w:sz w:val="28"/>
          <w:szCs w:val="28"/>
        </w:rPr>
        <w:t>обучающихся</w:t>
      </w:r>
      <w:proofErr w:type="gramEnd"/>
      <w:r w:rsidRPr="00DE47CF">
        <w:rPr>
          <w:rFonts w:ascii="Times New Roman" w:hAnsi="Times New Roman" w:cs="Times New Roman"/>
          <w:sz w:val="28"/>
          <w:szCs w:val="28"/>
        </w:rPr>
        <w:t xml:space="preserve"> </w:t>
      </w:r>
      <w:r w:rsidR="00522D09">
        <w:rPr>
          <w:rFonts w:ascii="Times New Roman" w:hAnsi="Times New Roman" w:cs="Times New Roman"/>
          <w:sz w:val="28"/>
          <w:szCs w:val="28"/>
        </w:rPr>
        <w:t>с сайтом «Решу ОГЭ» и предложили пройти пробный тест</w:t>
      </w:r>
      <w:r w:rsidRPr="00DE47CF">
        <w:rPr>
          <w:rFonts w:ascii="Times New Roman" w:hAnsi="Times New Roman" w:cs="Times New Roman"/>
          <w:sz w:val="28"/>
          <w:szCs w:val="28"/>
        </w:rPr>
        <w:t>. После выполнения КИМ обучающиеся подсч</w:t>
      </w:r>
      <w:r w:rsidR="00522D09">
        <w:rPr>
          <w:rFonts w:ascii="Times New Roman" w:hAnsi="Times New Roman" w:cs="Times New Roman"/>
          <w:sz w:val="28"/>
          <w:szCs w:val="28"/>
        </w:rPr>
        <w:t>итали количество баллов, определили</w:t>
      </w:r>
      <w:r w:rsidRPr="00DE47CF">
        <w:rPr>
          <w:rFonts w:ascii="Times New Roman" w:hAnsi="Times New Roman" w:cs="Times New Roman"/>
          <w:sz w:val="28"/>
          <w:szCs w:val="28"/>
        </w:rPr>
        <w:t xml:space="preserve"> слабые места в знаниях.</w:t>
      </w:r>
      <w:r w:rsidR="00522D09">
        <w:rPr>
          <w:rFonts w:ascii="Times New Roman" w:hAnsi="Times New Roman" w:cs="Times New Roman"/>
          <w:sz w:val="28"/>
          <w:szCs w:val="28"/>
        </w:rPr>
        <w:t xml:space="preserve"> В рамках первой консультации мы рассказали</w:t>
      </w:r>
      <w:r w:rsidRPr="00DE47CF">
        <w:rPr>
          <w:rFonts w:ascii="Times New Roman" w:hAnsi="Times New Roman" w:cs="Times New Roman"/>
          <w:sz w:val="28"/>
          <w:szCs w:val="28"/>
        </w:rPr>
        <w:t xml:space="preserve"> обучающимся, как организовать самостоятельную работу с контрольно-измерительными материалами, представленными на сайте, в форме тренажера. Для фиксирования процесса и осуществления обратно</w:t>
      </w:r>
      <w:r w:rsidR="00522D09">
        <w:rPr>
          <w:rFonts w:ascii="Times New Roman" w:hAnsi="Times New Roman" w:cs="Times New Roman"/>
          <w:sz w:val="28"/>
          <w:szCs w:val="28"/>
        </w:rPr>
        <w:t xml:space="preserve">й связи </w:t>
      </w:r>
      <w:proofErr w:type="gramStart"/>
      <w:r w:rsidR="00522D09">
        <w:rPr>
          <w:rFonts w:ascii="Times New Roman" w:hAnsi="Times New Roman" w:cs="Times New Roman"/>
          <w:sz w:val="28"/>
          <w:szCs w:val="28"/>
        </w:rPr>
        <w:t>обучающимся</w:t>
      </w:r>
      <w:proofErr w:type="gramEnd"/>
      <w:r w:rsidR="00522D09">
        <w:rPr>
          <w:rFonts w:ascii="Times New Roman" w:hAnsi="Times New Roman" w:cs="Times New Roman"/>
          <w:sz w:val="28"/>
          <w:szCs w:val="28"/>
        </w:rPr>
        <w:t xml:space="preserve"> предложили</w:t>
      </w:r>
      <w:r w:rsidRPr="00DE47CF">
        <w:rPr>
          <w:rFonts w:ascii="Times New Roman" w:hAnsi="Times New Roman" w:cs="Times New Roman"/>
          <w:sz w:val="28"/>
          <w:szCs w:val="28"/>
        </w:rPr>
        <w:t xml:space="preserve"> заполнить план (</w:t>
      </w:r>
      <w:r>
        <w:rPr>
          <w:rFonts w:ascii="Times New Roman" w:hAnsi="Times New Roman" w:cs="Times New Roman"/>
          <w:sz w:val="28"/>
          <w:szCs w:val="28"/>
        </w:rPr>
        <w:t xml:space="preserve">см. </w:t>
      </w:r>
      <w:r w:rsidRPr="00DE47CF">
        <w:rPr>
          <w:rFonts w:ascii="Times New Roman" w:hAnsi="Times New Roman" w:cs="Times New Roman"/>
          <w:sz w:val="28"/>
          <w:szCs w:val="28"/>
        </w:rPr>
        <w:t>таблица 1).</w:t>
      </w:r>
    </w:p>
    <w:p w:rsidR="00DE47CF" w:rsidRDefault="00DE47CF" w:rsidP="00DE47CF">
      <w:pPr>
        <w:pStyle w:val="Default"/>
        <w:spacing w:line="360" w:lineRule="auto"/>
        <w:jc w:val="both"/>
        <w:rPr>
          <w:rFonts w:eastAsia="Times New Roman"/>
          <w:sz w:val="28"/>
          <w:szCs w:val="28"/>
        </w:rPr>
      </w:pPr>
    </w:p>
    <w:p w:rsidR="00DB51EA" w:rsidRDefault="00DB51EA" w:rsidP="00DE47CF">
      <w:pPr>
        <w:pStyle w:val="Default"/>
        <w:spacing w:line="360" w:lineRule="auto"/>
        <w:jc w:val="both"/>
        <w:rPr>
          <w:rFonts w:eastAsia="Times New Roman"/>
          <w:sz w:val="28"/>
          <w:szCs w:val="28"/>
        </w:rPr>
      </w:pPr>
    </w:p>
    <w:p w:rsidR="00DB51EA" w:rsidRDefault="00DB51EA" w:rsidP="00DE47CF">
      <w:pPr>
        <w:pStyle w:val="Default"/>
        <w:spacing w:line="360" w:lineRule="auto"/>
        <w:jc w:val="both"/>
        <w:rPr>
          <w:rFonts w:eastAsia="Times New Roman"/>
          <w:sz w:val="28"/>
          <w:szCs w:val="28"/>
        </w:rPr>
      </w:pPr>
    </w:p>
    <w:p w:rsidR="00DB51EA" w:rsidRDefault="00DB51EA" w:rsidP="00DE47CF">
      <w:pPr>
        <w:pStyle w:val="Default"/>
        <w:spacing w:line="360" w:lineRule="auto"/>
        <w:jc w:val="both"/>
        <w:rPr>
          <w:rFonts w:eastAsia="Times New Roman"/>
          <w:sz w:val="28"/>
          <w:szCs w:val="28"/>
        </w:rPr>
      </w:pPr>
    </w:p>
    <w:p w:rsidR="00DB51EA" w:rsidRDefault="00DB51EA" w:rsidP="00DE47CF">
      <w:pPr>
        <w:pStyle w:val="Default"/>
        <w:spacing w:line="360" w:lineRule="auto"/>
        <w:jc w:val="both"/>
        <w:rPr>
          <w:rFonts w:eastAsia="Times New Roman"/>
          <w:sz w:val="28"/>
          <w:szCs w:val="28"/>
        </w:rPr>
      </w:pPr>
    </w:p>
    <w:p w:rsidR="00DB51EA" w:rsidRDefault="00DB51EA" w:rsidP="00DE47CF">
      <w:pPr>
        <w:pStyle w:val="Default"/>
        <w:spacing w:line="360" w:lineRule="auto"/>
        <w:jc w:val="both"/>
        <w:rPr>
          <w:rFonts w:eastAsia="Times New Roman"/>
          <w:sz w:val="28"/>
          <w:szCs w:val="28"/>
        </w:rPr>
      </w:pPr>
      <w:bookmarkStart w:id="0" w:name="_GoBack"/>
      <w:bookmarkEnd w:id="0"/>
    </w:p>
    <w:p w:rsidR="00DE47CF" w:rsidRPr="0000017D" w:rsidRDefault="00DE47CF" w:rsidP="00DE47CF">
      <w:pPr>
        <w:pStyle w:val="Default"/>
        <w:spacing w:line="360" w:lineRule="auto"/>
        <w:jc w:val="both"/>
        <w:rPr>
          <w:rFonts w:eastAsia="Times New Roman"/>
          <w:sz w:val="28"/>
          <w:szCs w:val="28"/>
        </w:rPr>
      </w:pPr>
      <w:r w:rsidRPr="0000017D">
        <w:rPr>
          <w:rFonts w:eastAsia="Times New Roman"/>
          <w:sz w:val="28"/>
          <w:szCs w:val="28"/>
        </w:rPr>
        <w:lastRenderedPageBreak/>
        <w:t>Таблица 1 — План самостоятельной работы по подготовке к ОГЭ по русскому языку</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7"/>
        <w:gridCol w:w="1134"/>
        <w:gridCol w:w="426"/>
        <w:gridCol w:w="1133"/>
        <w:gridCol w:w="425"/>
        <w:gridCol w:w="1276"/>
        <w:gridCol w:w="425"/>
        <w:gridCol w:w="1135"/>
        <w:gridCol w:w="377"/>
        <w:gridCol w:w="48"/>
        <w:gridCol w:w="1418"/>
      </w:tblGrid>
      <w:tr w:rsidR="00DE47CF" w:rsidRPr="00DE47CF" w:rsidTr="00D854B4">
        <w:trPr>
          <w:trHeight w:val="636"/>
        </w:trPr>
        <w:tc>
          <w:tcPr>
            <w:tcW w:w="1497" w:type="dxa"/>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Недели</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1 </w:t>
            </w: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  </w:t>
            </w:r>
            <w:proofErr w:type="spellStart"/>
            <w:r w:rsidRPr="00DE47CF">
              <w:rPr>
                <w:rFonts w:ascii="Times New Roman" w:hAnsi="Times New Roman" w:cs="Times New Roman"/>
                <w:sz w:val="20"/>
                <w:szCs w:val="24"/>
              </w:rPr>
              <w:t>выполн</w:t>
            </w:r>
            <w:proofErr w:type="spellEnd"/>
          </w:p>
        </w:tc>
        <w:tc>
          <w:tcPr>
            <w:tcW w:w="426"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Баллы</w:t>
            </w: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2</w:t>
            </w: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  </w:t>
            </w:r>
            <w:proofErr w:type="spellStart"/>
            <w:r w:rsidRPr="00DE47CF">
              <w:rPr>
                <w:rFonts w:ascii="Times New Roman" w:hAnsi="Times New Roman" w:cs="Times New Roman"/>
                <w:sz w:val="20"/>
                <w:szCs w:val="24"/>
              </w:rPr>
              <w:t>выполн</w:t>
            </w:r>
            <w:proofErr w:type="spellEnd"/>
          </w:p>
        </w:tc>
        <w:tc>
          <w:tcPr>
            <w:tcW w:w="425"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Баллы</w:t>
            </w: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3</w:t>
            </w: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  </w:t>
            </w:r>
            <w:proofErr w:type="spellStart"/>
            <w:r w:rsidRPr="00DE47CF">
              <w:rPr>
                <w:rFonts w:ascii="Times New Roman" w:hAnsi="Times New Roman" w:cs="Times New Roman"/>
                <w:sz w:val="20"/>
                <w:szCs w:val="24"/>
              </w:rPr>
              <w:t>выполн</w:t>
            </w:r>
            <w:proofErr w:type="spellEnd"/>
          </w:p>
        </w:tc>
        <w:tc>
          <w:tcPr>
            <w:tcW w:w="425"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Баллы</w:t>
            </w: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4 </w:t>
            </w: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  </w:t>
            </w:r>
            <w:proofErr w:type="spellStart"/>
            <w:r w:rsidRPr="00DE47CF">
              <w:rPr>
                <w:rFonts w:ascii="Times New Roman" w:hAnsi="Times New Roman" w:cs="Times New Roman"/>
                <w:sz w:val="20"/>
                <w:szCs w:val="24"/>
              </w:rPr>
              <w:t>выполн</w:t>
            </w:r>
            <w:proofErr w:type="spellEnd"/>
          </w:p>
        </w:tc>
        <w:tc>
          <w:tcPr>
            <w:tcW w:w="425" w:type="dxa"/>
            <w:gridSpan w:val="2"/>
          </w:tcPr>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Баллы</w:t>
            </w:r>
          </w:p>
        </w:tc>
        <w:tc>
          <w:tcPr>
            <w:tcW w:w="1418" w:type="dxa"/>
          </w:tcPr>
          <w:p w:rsidR="00DE47CF" w:rsidRPr="00DE47CF" w:rsidRDefault="00DE47CF" w:rsidP="00DE47CF">
            <w:pPr>
              <w:spacing w:after="0" w:line="240" w:lineRule="auto"/>
              <w:rPr>
                <w:rFonts w:ascii="Times New Roman" w:hAnsi="Times New Roman" w:cs="Times New Roman"/>
                <w:sz w:val="20"/>
                <w:szCs w:val="24"/>
              </w:rPr>
            </w:pPr>
          </w:p>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Итого выполнено</w:t>
            </w:r>
          </w:p>
        </w:tc>
      </w:tr>
      <w:tr w:rsidR="00DE47CF" w:rsidRPr="00DE47CF" w:rsidTr="00D854B4">
        <w:trPr>
          <w:trHeight w:val="272"/>
        </w:trPr>
        <w:tc>
          <w:tcPr>
            <w:tcW w:w="9294" w:type="dxa"/>
            <w:gridSpan w:val="11"/>
          </w:tcPr>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Устное собеседование</w:t>
            </w:r>
          </w:p>
        </w:tc>
      </w:tr>
      <w:tr w:rsidR="00DE47CF" w:rsidRPr="00DE47CF" w:rsidTr="00D854B4">
        <w:trPr>
          <w:trHeight w:val="636"/>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Чтение текста </w:t>
            </w:r>
            <w:r w:rsidRPr="00DE47CF">
              <w:rPr>
                <w:rFonts w:ascii="Times New Roman" w:hAnsi="Times New Roman" w:cs="Times New Roman"/>
                <w:b/>
                <w:sz w:val="20"/>
                <w:szCs w:val="24"/>
              </w:rPr>
              <w:t>80</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tcPr>
          <w:p w:rsidR="00DE47CF" w:rsidRPr="00DE47CF" w:rsidRDefault="00DE47CF" w:rsidP="00DE47CF">
            <w:pPr>
              <w:spacing w:after="0" w:line="240" w:lineRule="auto"/>
              <w:jc w:val="center"/>
              <w:rPr>
                <w:rFonts w:ascii="Times New Roman" w:hAnsi="Times New Roman" w:cs="Times New Roman"/>
                <w:sz w:val="20"/>
                <w:szCs w:val="24"/>
              </w:rPr>
            </w:pPr>
          </w:p>
        </w:tc>
        <w:tc>
          <w:tcPr>
            <w:tcW w:w="1418" w:type="dxa"/>
          </w:tcPr>
          <w:p w:rsidR="00DE47CF" w:rsidRPr="00DE47CF" w:rsidRDefault="00DE47CF" w:rsidP="00DE47CF">
            <w:pPr>
              <w:spacing w:after="0" w:line="240" w:lineRule="auto"/>
              <w:jc w:val="center"/>
              <w:rPr>
                <w:rFonts w:ascii="Times New Roman" w:hAnsi="Times New Roman" w:cs="Times New Roman"/>
                <w:sz w:val="20"/>
                <w:szCs w:val="24"/>
              </w:rPr>
            </w:pPr>
          </w:p>
        </w:tc>
      </w:tr>
      <w:tr w:rsidR="00DE47CF" w:rsidRPr="00DE47CF" w:rsidTr="00D854B4">
        <w:trPr>
          <w:trHeight w:val="636"/>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Пересказ текста </w:t>
            </w:r>
            <w:r w:rsidRPr="00DE47CF">
              <w:rPr>
                <w:rFonts w:ascii="Times New Roman" w:hAnsi="Times New Roman" w:cs="Times New Roman"/>
                <w:b/>
                <w:sz w:val="20"/>
                <w:szCs w:val="24"/>
              </w:rPr>
              <w:t>80</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tcPr>
          <w:p w:rsidR="00DE47CF" w:rsidRPr="00DE47CF" w:rsidRDefault="00DE47CF" w:rsidP="00DE47CF">
            <w:pPr>
              <w:spacing w:after="0" w:line="240" w:lineRule="auto"/>
              <w:jc w:val="center"/>
              <w:rPr>
                <w:rFonts w:ascii="Times New Roman" w:hAnsi="Times New Roman" w:cs="Times New Roman"/>
                <w:sz w:val="20"/>
                <w:szCs w:val="24"/>
              </w:rPr>
            </w:pPr>
          </w:p>
        </w:tc>
        <w:tc>
          <w:tcPr>
            <w:tcW w:w="1418" w:type="dxa"/>
          </w:tcPr>
          <w:p w:rsidR="00DE47CF" w:rsidRPr="00DE47CF" w:rsidRDefault="00DE47CF" w:rsidP="00DE47CF">
            <w:pPr>
              <w:spacing w:after="0" w:line="240" w:lineRule="auto"/>
              <w:jc w:val="center"/>
              <w:rPr>
                <w:rFonts w:ascii="Times New Roman" w:hAnsi="Times New Roman" w:cs="Times New Roman"/>
                <w:sz w:val="20"/>
                <w:szCs w:val="24"/>
              </w:rPr>
            </w:pPr>
          </w:p>
        </w:tc>
      </w:tr>
      <w:tr w:rsidR="00DE47CF" w:rsidRPr="00DE47CF" w:rsidTr="00D854B4">
        <w:trPr>
          <w:trHeight w:val="347"/>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Монолог </w:t>
            </w:r>
            <w:r w:rsidRPr="00DE47CF">
              <w:rPr>
                <w:rFonts w:ascii="Times New Roman" w:hAnsi="Times New Roman" w:cs="Times New Roman"/>
                <w:b/>
                <w:sz w:val="20"/>
                <w:szCs w:val="24"/>
              </w:rPr>
              <w:t>80</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tcPr>
          <w:p w:rsidR="00DE47CF" w:rsidRPr="00DE47CF" w:rsidRDefault="00DE47CF" w:rsidP="00DE47CF">
            <w:pPr>
              <w:spacing w:after="0" w:line="240" w:lineRule="auto"/>
              <w:jc w:val="center"/>
              <w:rPr>
                <w:rFonts w:ascii="Times New Roman" w:hAnsi="Times New Roman" w:cs="Times New Roman"/>
                <w:sz w:val="20"/>
                <w:szCs w:val="24"/>
              </w:rPr>
            </w:pPr>
          </w:p>
        </w:tc>
        <w:tc>
          <w:tcPr>
            <w:tcW w:w="1418" w:type="dxa"/>
          </w:tcPr>
          <w:p w:rsidR="00DE47CF" w:rsidRPr="00DE47CF" w:rsidRDefault="00DE47CF" w:rsidP="00DE47CF">
            <w:pPr>
              <w:spacing w:after="0" w:line="240" w:lineRule="auto"/>
              <w:jc w:val="center"/>
              <w:rPr>
                <w:rFonts w:ascii="Times New Roman" w:hAnsi="Times New Roman" w:cs="Times New Roman"/>
                <w:sz w:val="20"/>
                <w:szCs w:val="24"/>
              </w:rPr>
            </w:pPr>
          </w:p>
        </w:tc>
      </w:tr>
      <w:tr w:rsidR="00DE47CF" w:rsidRPr="00DE47CF" w:rsidTr="00D854B4">
        <w:trPr>
          <w:trHeight w:val="282"/>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Диалог </w:t>
            </w:r>
            <w:r w:rsidRPr="00DE47CF">
              <w:rPr>
                <w:rFonts w:ascii="Times New Roman" w:hAnsi="Times New Roman" w:cs="Times New Roman"/>
                <w:b/>
                <w:sz w:val="20"/>
                <w:szCs w:val="24"/>
              </w:rPr>
              <w:t>80</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tcPr>
          <w:p w:rsidR="00DE47CF" w:rsidRPr="00DE47CF" w:rsidRDefault="00DE47CF" w:rsidP="00DE47CF">
            <w:pPr>
              <w:spacing w:after="0" w:line="240" w:lineRule="auto"/>
              <w:jc w:val="center"/>
              <w:rPr>
                <w:rFonts w:ascii="Times New Roman" w:hAnsi="Times New Roman" w:cs="Times New Roman"/>
                <w:sz w:val="20"/>
                <w:szCs w:val="24"/>
              </w:rPr>
            </w:pPr>
          </w:p>
        </w:tc>
        <w:tc>
          <w:tcPr>
            <w:tcW w:w="1418" w:type="dxa"/>
          </w:tcPr>
          <w:p w:rsidR="00DE47CF" w:rsidRPr="00DE47CF" w:rsidRDefault="00DE47CF" w:rsidP="00DE47CF">
            <w:pPr>
              <w:spacing w:after="0" w:line="240" w:lineRule="auto"/>
              <w:jc w:val="center"/>
              <w:rPr>
                <w:rFonts w:ascii="Times New Roman" w:hAnsi="Times New Roman" w:cs="Times New Roman"/>
                <w:sz w:val="20"/>
                <w:szCs w:val="24"/>
              </w:rPr>
            </w:pPr>
          </w:p>
        </w:tc>
      </w:tr>
      <w:tr w:rsidR="00DE47CF" w:rsidRPr="00DE47CF" w:rsidTr="00D854B4">
        <w:trPr>
          <w:trHeight w:val="252"/>
        </w:trPr>
        <w:tc>
          <w:tcPr>
            <w:tcW w:w="9294" w:type="dxa"/>
            <w:gridSpan w:val="11"/>
          </w:tcPr>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eastAsia="Times New Roman" w:hAnsi="Times New Roman" w:cs="Times New Roman"/>
                <w:color w:val="000000"/>
                <w:sz w:val="20"/>
                <w:szCs w:val="24"/>
                <w:lang w:eastAsia="ru-RU"/>
              </w:rPr>
              <w:t>Изложение</w:t>
            </w:r>
          </w:p>
        </w:tc>
      </w:tr>
      <w:tr w:rsidR="00DE47CF" w:rsidRPr="00DE47CF" w:rsidTr="00D854B4">
        <w:trPr>
          <w:trHeight w:val="740"/>
        </w:trPr>
        <w:tc>
          <w:tcPr>
            <w:tcW w:w="1497" w:type="dxa"/>
          </w:tcPr>
          <w:p w:rsidR="00DE47CF" w:rsidRPr="00DE47CF" w:rsidRDefault="00DE47CF" w:rsidP="00DE47CF">
            <w:pPr>
              <w:shd w:val="clear" w:color="auto" w:fill="FFFFFF"/>
              <w:spacing w:after="0" w:line="240" w:lineRule="auto"/>
              <w:rPr>
                <w:rFonts w:ascii="Times New Roman" w:eastAsia="Times New Roman" w:hAnsi="Times New Roman" w:cs="Times New Roman"/>
                <w:color w:val="000000"/>
                <w:sz w:val="20"/>
                <w:szCs w:val="24"/>
                <w:lang w:eastAsia="ru-RU"/>
              </w:rPr>
            </w:pPr>
            <w:r w:rsidRPr="00DE47CF">
              <w:rPr>
                <w:rFonts w:ascii="Times New Roman" w:eastAsia="Times New Roman" w:hAnsi="Times New Roman" w:cs="Times New Roman"/>
                <w:color w:val="000000"/>
                <w:sz w:val="20"/>
                <w:szCs w:val="24"/>
                <w:lang w:eastAsia="ru-RU"/>
              </w:rPr>
              <w:t xml:space="preserve">Задания тренировочных работ </w:t>
            </w:r>
            <w:r w:rsidRPr="00DE47CF">
              <w:rPr>
                <w:rFonts w:ascii="Times New Roman" w:eastAsia="Times New Roman" w:hAnsi="Times New Roman" w:cs="Times New Roman"/>
                <w:b/>
                <w:color w:val="000000"/>
                <w:sz w:val="20"/>
                <w:szCs w:val="24"/>
                <w:lang w:eastAsia="ru-RU"/>
              </w:rPr>
              <w:t>26</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vMerge w:val="restart"/>
          </w:tcPr>
          <w:p w:rsidR="00DE47CF" w:rsidRPr="00DE47CF" w:rsidRDefault="00DE47CF" w:rsidP="00DE47CF">
            <w:pPr>
              <w:spacing w:after="0" w:line="240" w:lineRule="auto"/>
              <w:rPr>
                <w:rFonts w:ascii="Times New Roman" w:hAnsi="Times New Roman" w:cs="Times New Roman"/>
                <w:sz w:val="20"/>
                <w:szCs w:val="24"/>
              </w:rPr>
            </w:pPr>
          </w:p>
        </w:tc>
        <w:tc>
          <w:tcPr>
            <w:tcW w:w="1418" w:type="dxa"/>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300"/>
        </w:trPr>
        <w:tc>
          <w:tcPr>
            <w:tcW w:w="1497" w:type="dxa"/>
          </w:tcPr>
          <w:p w:rsidR="00DE47CF" w:rsidRPr="00DE47CF" w:rsidRDefault="00DE47CF" w:rsidP="00DE47CF">
            <w:pPr>
              <w:shd w:val="clear" w:color="auto" w:fill="FFFFFF"/>
              <w:spacing w:after="0" w:line="240" w:lineRule="auto"/>
              <w:rPr>
                <w:rFonts w:ascii="Times New Roman" w:eastAsia="Times New Roman" w:hAnsi="Times New Roman" w:cs="Times New Roman"/>
                <w:color w:val="000000"/>
                <w:sz w:val="20"/>
                <w:szCs w:val="24"/>
                <w:lang w:eastAsia="ru-RU"/>
              </w:rPr>
            </w:pPr>
            <w:r w:rsidRPr="00DE47CF">
              <w:rPr>
                <w:rFonts w:ascii="Times New Roman" w:eastAsia="Times New Roman" w:hAnsi="Times New Roman" w:cs="Times New Roman"/>
                <w:color w:val="000000"/>
                <w:sz w:val="20"/>
                <w:szCs w:val="24"/>
                <w:lang w:eastAsia="ru-RU"/>
              </w:rPr>
              <w:t xml:space="preserve">Задания ОБ ФИПИ Ч. 1  </w:t>
            </w:r>
            <w:r w:rsidRPr="00DE47CF">
              <w:rPr>
                <w:rFonts w:ascii="Times New Roman" w:eastAsia="Times New Roman" w:hAnsi="Times New Roman" w:cs="Times New Roman"/>
                <w:b/>
                <w:color w:val="000000"/>
                <w:sz w:val="20"/>
                <w:szCs w:val="24"/>
                <w:lang w:eastAsia="ru-RU"/>
              </w:rPr>
              <w:t>22</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vMerge/>
          </w:tcPr>
          <w:p w:rsidR="00DE47CF" w:rsidRPr="00DE47CF" w:rsidRDefault="00DE47CF" w:rsidP="00DE47CF">
            <w:pPr>
              <w:spacing w:after="0" w:line="240" w:lineRule="auto"/>
              <w:rPr>
                <w:rFonts w:ascii="Times New Roman" w:hAnsi="Times New Roman" w:cs="Times New Roman"/>
                <w:sz w:val="20"/>
                <w:szCs w:val="24"/>
              </w:rPr>
            </w:pPr>
          </w:p>
        </w:tc>
        <w:tc>
          <w:tcPr>
            <w:tcW w:w="1418" w:type="dxa"/>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251"/>
        </w:trPr>
        <w:tc>
          <w:tcPr>
            <w:tcW w:w="1497" w:type="dxa"/>
          </w:tcPr>
          <w:p w:rsidR="00DE47CF" w:rsidRPr="00DE47CF" w:rsidRDefault="00DE47CF" w:rsidP="00DE47CF">
            <w:pPr>
              <w:shd w:val="clear" w:color="auto" w:fill="FFFFFF"/>
              <w:spacing w:after="0" w:line="240" w:lineRule="auto"/>
              <w:rPr>
                <w:rFonts w:ascii="Times New Roman" w:eastAsia="Times New Roman" w:hAnsi="Times New Roman" w:cs="Times New Roman"/>
                <w:color w:val="000000"/>
                <w:sz w:val="20"/>
                <w:szCs w:val="24"/>
                <w:lang w:eastAsia="ru-RU"/>
              </w:rPr>
            </w:pPr>
            <w:r w:rsidRPr="00DE47CF">
              <w:rPr>
                <w:rFonts w:ascii="Times New Roman" w:eastAsia="Times New Roman" w:hAnsi="Times New Roman" w:cs="Times New Roman"/>
                <w:color w:val="000000"/>
                <w:sz w:val="20"/>
                <w:szCs w:val="24"/>
                <w:lang w:eastAsia="ru-RU"/>
              </w:rPr>
              <w:t xml:space="preserve">Задания ОБ ФИПИ Ч. 2 </w:t>
            </w:r>
            <w:r w:rsidRPr="00DE47CF">
              <w:rPr>
                <w:rFonts w:ascii="Times New Roman" w:eastAsia="Times New Roman" w:hAnsi="Times New Roman" w:cs="Times New Roman"/>
                <w:b/>
                <w:color w:val="000000"/>
                <w:sz w:val="20"/>
                <w:szCs w:val="24"/>
                <w:lang w:eastAsia="ru-RU"/>
              </w:rPr>
              <w:t>13</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vMerge/>
          </w:tcPr>
          <w:p w:rsidR="00DE47CF" w:rsidRPr="00DE47CF" w:rsidRDefault="00DE47CF" w:rsidP="00DE47CF">
            <w:pPr>
              <w:spacing w:after="0" w:line="240" w:lineRule="auto"/>
              <w:rPr>
                <w:rFonts w:ascii="Times New Roman" w:hAnsi="Times New Roman" w:cs="Times New Roman"/>
                <w:sz w:val="20"/>
                <w:szCs w:val="24"/>
              </w:rPr>
            </w:pPr>
          </w:p>
        </w:tc>
        <w:tc>
          <w:tcPr>
            <w:tcW w:w="1418" w:type="dxa"/>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541"/>
        </w:trPr>
        <w:tc>
          <w:tcPr>
            <w:tcW w:w="1497" w:type="dxa"/>
          </w:tcPr>
          <w:p w:rsidR="00DE47CF" w:rsidRPr="00DE47CF" w:rsidRDefault="00DE47CF" w:rsidP="00DE47CF">
            <w:pPr>
              <w:shd w:val="clear" w:color="auto" w:fill="FFFFFF"/>
              <w:spacing w:after="0" w:line="240" w:lineRule="auto"/>
              <w:rPr>
                <w:rFonts w:ascii="Times New Roman" w:eastAsia="Times New Roman" w:hAnsi="Times New Roman" w:cs="Times New Roman"/>
                <w:color w:val="000000"/>
                <w:sz w:val="20"/>
                <w:szCs w:val="24"/>
                <w:lang w:eastAsia="ru-RU"/>
              </w:rPr>
            </w:pPr>
            <w:r w:rsidRPr="00DE47CF">
              <w:rPr>
                <w:rFonts w:ascii="Times New Roman" w:eastAsia="Times New Roman" w:hAnsi="Times New Roman" w:cs="Times New Roman"/>
                <w:color w:val="000000"/>
                <w:sz w:val="20"/>
                <w:szCs w:val="24"/>
                <w:lang w:eastAsia="ru-RU"/>
              </w:rPr>
              <w:t xml:space="preserve">Задания типовых работ </w:t>
            </w:r>
            <w:r w:rsidRPr="00DE47CF">
              <w:rPr>
                <w:rFonts w:ascii="Times New Roman" w:eastAsia="Times New Roman" w:hAnsi="Times New Roman" w:cs="Times New Roman"/>
                <w:b/>
                <w:color w:val="000000"/>
                <w:sz w:val="20"/>
                <w:szCs w:val="24"/>
                <w:lang w:eastAsia="ru-RU"/>
              </w:rPr>
              <w:t>12</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gridSpan w:val="2"/>
            <w:vMerge/>
          </w:tcPr>
          <w:p w:rsidR="00DE47CF" w:rsidRPr="00DE47CF" w:rsidRDefault="00DE47CF" w:rsidP="00DE47CF">
            <w:pPr>
              <w:spacing w:after="0" w:line="240" w:lineRule="auto"/>
              <w:rPr>
                <w:rFonts w:ascii="Times New Roman" w:hAnsi="Times New Roman" w:cs="Times New Roman"/>
                <w:sz w:val="20"/>
                <w:szCs w:val="24"/>
              </w:rPr>
            </w:pPr>
          </w:p>
        </w:tc>
        <w:tc>
          <w:tcPr>
            <w:tcW w:w="1418" w:type="dxa"/>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275"/>
        </w:trPr>
        <w:tc>
          <w:tcPr>
            <w:tcW w:w="9294" w:type="dxa"/>
            <w:gridSpan w:val="11"/>
          </w:tcPr>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Тестовая часть</w:t>
            </w:r>
          </w:p>
        </w:tc>
      </w:tr>
      <w:tr w:rsidR="00DE47CF" w:rsidRPr="00DE47CF" w:rsidTr="00FE70F9">
        <w:trPr>
          <w:trHeight w:val="353"/>
        </w:trPr>
        <w:tc>
          <w:tcPr>
            <w:tcW w:w="1497" w:type="dxa"/>
          </w:tcPr>
          <w:p w:rsidR="00DE47CF" w:rsidRPr="00FE70F9" w:rsidRDefault="00DE47CF" w:rsidP="00DE47CF">
            <w:pPr>
              <w:spacing w:after="0" w:line="240" w:lineRule="auto"/>
              <w:rPr>
                <w:rFonts w:ascii="Times New Roman" w:hAnsi="Times New Roman" w:cs="Times New Roman"/>
                <w:b/>
                <w:sz w:val="20"/>
                <w:szCs w:val="24"/>
              </w:rPr>
            </w:pPr>
            <w:r w:rsidRPr="00DE47CF">
              <w:rPr>
                <w:rFonts w:ascii="Times New Roman" w:hAnsi="Times New Roman" w:cs="Times New Roman"/>
                <w:sz w:val="20"/>
                <w:szCs w:val="24"/>
              </w:rPr>
              <w:t xml:space="preserve">Синтаксический анализ </w:t>
            </w:r>
            <w:r w:rsidRPr="00DE47CF">
              <w:rPr>
                <w:rFonts w:ascii="Times New Roman" w:hAnsi="Times New Roman" w:cs="Times New Roman"/>
                <w:b/>
                <w:sz w:val="20"/>
                <w:szCs w:val="24"/>
              </w:rPr>
              <w:t>44</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286"/>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Пунктуационный анализ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360"/>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Синтаксический анализ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121"/>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Орфографический анализ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271"/>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Анализ содержания текста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286"/>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Анализ средств выразительности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395"/>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 xml:space="preserve">Лексический анализ </w:t>
            </w:r>
            <w:r w:rsidRPr="00DE47CF">
              <w:rPr>
                <w:rFonts w:ascii="Times New Roman" w:hAnsi="Times New Roman" w:cs="Times New Roman"/>
                <w:b/>
                <w:sz w:val="20"/>
                <w:szCs w:val="24"/>
              </w:rPr>
              <w:t>47</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372"/>
        </w:trPr>
        <w:tc>
          <w:tcPr>
            <w:tcW w:w="9294" w:type="dxa"/>
            <w:gridSpan w:val="11"/>
          </w:tcPr>
          <w:p w:rsidR="00DE47CF" w:rsidRPr="00DE47CF" w:rsidRDefault="00DE47CF" w:rsidP="00DE47CF">
            <w:pPr>
              <w:spacing w:after="0" w:line="240" w:lineRule="auto"/>
              <w:jc w:val="center"/>
              <w:rPr>
                <w:rFonts w:ascii="Times New Roman" w:hAnsi="Times New Roman" w:cs="Times New Roman"/>
                <w:sz w:val="20"/>
                <w:szCs w:val="24"/>
              </w:rPr>
            </w:pPr>
            <w:r w:rsidRPr="00DE47CF">
              <w:rPr>
                <w:rFonts w:ascii="Times New Roman" w:hAnsi="Times New Roman" w:cs="Times New Roman"/>
                <w:sz w:val="20"/>
                <w:szCs w:val="24"/>
              </w:rPr>
              <w:t>Сочинение</w:t>
            </w:r>
          </w:p>
        </w:tc>
      </w:tr>
      <w:tr w:rsidR="00DE47CF" w:rsidRPr="00DE47CF" w:rsidTr="00FE70F9">
        <w:trPr>
          <w:trHeight w:val="579"/>
        </w:trPr>
        <w:tc>
          <w:tcPr>
            <w:tcW w:w="1497" w:type="dxa"/>
          </w:tcPr>
          <w:p w:rsidR="00DE47CF" w:rsidRPr="00DE47CF" w:rsidRDefault="00DE47CF" w:rsidP="00DE47CF">
            <w:pPr>
              <w:shd w:val="clear" w:color="auto" w:fill="FFFFFF"/>
              <w:spacing w:after="0" w:line="240" w:lineRule="auto"/>
              <w:rPr>
                <w:rFonts w:ascii="Times New Roman" w:hAnsi="Times New Roman" w:cs="Times New Roman"/>
                <w:sz w:val="20"/>
                <w:szCs w:val="24"/>
              </w:rPr>
            </w:pPr>
            <w:r w:rsidRPr="00DE47CF">
              <w:rPr>
                <w:rFonts w:ascii="Times New Roman" w:eastAsia="Times New Roman" w:hAnsi="Times New Roman" w:cs="Times New Roman"/>
                <w:color w:val="000000"/>
                <w:sz w:val="20"/>
                <w:szCs w:val="24"/>
                <w:lang w:eastAsia="ru-RU"/>
              </w:rPr>
              <w:t xml:space="preserve">Задания открытого банка ФИПИ Ч. 1  </w:t>
            </w:r>
            <w:r w:rsidRPr="00DE47CF">
              <w:rPr>
                <w:rFonts w:ascii="Times New Roman" w:eastAsia="Times New Roman" w:hAnsi="Times New Roman" w:cs="Times New Roman"/>
                <w:b/>
                <w:color w:val="000000"/>
                <w:sz w:val="20"/>
                <w:szCs w:val="24"/>
                <w:lang w:eastAsia="ru-RU"/>
              </w:rPr>
              <w:t>72</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vMerge w:val="restart"/>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552"/>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eastAsia="Times New Roman" w:hAnsi="Times New Roman" w:cs="Times New Roman"/>
                <w:color w:val="000000"/>
                <w:sz w:val="20"/>
                <w:szCs w:val="24"/>
                <w:lang w:eastAsia="ru-RU"/>
              </w:rPr>
              <w:t xml:space="preserve">Задания ОБ ФИПИ Ч. 2 </w:t>
            </w:r>
            <w:r w:rsidRPr="00DE47CF">
              <w:rPr>
                <w:rFonts w:ascii="Times New Roman" w:eastAsia="Times New Roman" w:hAnsi="Times New Roman" w:cs="Times New Roman"/>
                <w:b/>
                <w:color w:val="000000"/>
                <w:sz w:val="20"/>
                <w:szCs w:val="24"/>
                <w:lang w:eastAsia="ru-RU"/>
              </w:rPr>
              <w:t>48</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vMerge/>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FE70F9">
        <w:trPr>
          <w:trHeight w:val="394"/>
        </w:trPr>
        <w:tc>
          <w:tcPr>
            <w:tcW w:w="1497" w:type="dxa"/>
          </w:tcPr>
          <w:p w:rsidR="00DE47CF" w:rsidRPr="00DE47CF" w:rsidRDefault="00DE47CF" w:rsidP="00DE47CF">
            <w:pPr>
              <w:shd w:val="clear" w:color="auto" w:fill="FFFFFF"/>
              <w:spacing w:after="0" w:line="240" w:lineRule="auto"/>
              <w:rPr>
                <w:rFonts w:ascii="Times New Roman" w:eastAsia="Times New Roman" w:hAnsi="Times New Roman" w:cs="Times New Roman"/>
                <w:color w:val="000000"/>
                <w:sz w:val="20"/>
                <w:szCs w:val="24"/>
                <w:lang w:eastAsia="ru-RU"/>
              </w:rPr>
            </w:pPr>
            <w:r w:rsidRPr="00DE47CF">
              <w:rPr>
                <w:rFonts w:ascii="Times New Roman" w:eastAsia="Times New Roman" w:hAnsi="Times New Roman" w:cs="Times New Roman"/>
                <w:color w:val="000000"/>
                <w:sz w:val="20"/>
                <w:szCs w:val="24"/>
                <w:lang w:eastAsia="ru-RU"/>
              </w:rPr>
              <w:t xml:space="preserve">Задания ОБ ФИПИ Ч. 3  </w:t>
            </w:r>
            <w:r w:rsidRPr="00DE47CF">
              <w:rPr>
                <w:rFonts w:ascii="Times New Roman" w:eastAsia="Times New Roman" w:hAnsi="Times New Roman" w:cs="Times New Roman"/>
                <w:b/>
                <w:color w:val="000000"/>
                <w:sz w:val="20"/>
                <w:szCs w:val="24"/>
                <w:lang w:eastAsia="ru-RU"/>
              </w:rPr>
              <w:t>20</w:t>
            </w:r>
          </w:p>
        </w:tc>
        <w:tc>
          <w:tcPr>
            <w:tcW w:w="1134"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6" w:type="dxa"/>
            <w:vMerge/>
          </w:tcPr>
          <w:p w:rsidR="00DE47CF" w:rsidRPr="00DE47CF" w:rsidRDefault="00DE47CF" w:rsidP="00DE47CF">
            <w:pPr>
              <w:spacing w:after="0" w:line="240" w:lineRule="auto"/>
              <w:rPr>
                <w:rFonts w:ascii="Times New Roman" w:hAnsi="Times New Roman" w:cs="Times New Roman"/>
                <w:sz w:val="20"/>
                <w:szCs w:val="24"/>
              </w:rPr>
            </w:pPr>
          </w:p>
        </w:tc>
        <w:tc>
          <w:tcPr>
            <w:tcW w:w="1133"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276"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425" w:type="dxa"/>
            <w:vMerge/>
          </w:tcPr>
          <w:p w:rsidR="00DE47CF" w:rsidRPr="00DE47CF" w:rsidRDefault="00DE47CF" w:rsidP="00DE47CF">
            <w:pPr>
              <w:spacing w:after="0" w:line="240" w:lineRule="auto"/>
              <w:rPr>
                <w:rFonts w:ascii="Times New Roman" w:hAnsi="Times New Roman" w:cs="Times New Roman"/>
                <w:sz w:val="20"/>
                <w:szCs w:val="24"/>
              </w:rPr>
            </w:pPr>
          </w:p>
        </w:tc>
        <w:tc>
          <w:tcPr>
            <w:tcW w:w="1135" w:type="dxa"/>
            <w:tcBorders>
              <w:tr2bl w:val="single" w:sz="4" w:space="0" w:color="auto"/>
            </w:tcBorders>
          </w:tcPr>
          <w:p w:rsidR="00DE47CF" w:rsidRPr="00DE47CF" w:rsidRDefault="00DE47CF" w:rsidP="00DE47CF">
            <w:pPr>
              <w:spacing w:after="0" w:line="240" w:lineRule="auto"/>
              <w:rPr>
                <w:rFonts w:ascii="Times New Roman" w:hAnsi="Times New Roman" w:cs="Times New Roman"/>
                <w:sz w:val="20"/>
                <w:szCs w:val="24"/>
              </w:rPr>
            </w:pPr>
          </w:p>
        </w:tc>
        <w:tc>
          <w:tcPr>
            <w:tcW w:w="377" w:type="dxa"/>
            <w:vMerge/>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r w:rsidR="00DE47CF" w:rsidRPr="00DE47CF" w:rsidTr="00D854B4">
        <w:trPr>
          <w:trHeight w:val="272"/>
        </w:trPr>
        <w:tc>
          <w:tcPr>
            <w:tcW w:w="1497" w:type="dxa"/>
          </w:tcPr>
          <w:p w:rsidR="00DE47CF" w:rsidRPr="00DE47CF" w:rsidRDefault="00DE47CF" w:rsidP="00DE47CF">
            <w:pPr>
              <w:spacing w:after="0" w:line="240" w:lineRule="auto"/>
              <w:rPr>
                <w:rFonts w:ascii="Times New Roman" w:hAnsi="Times New Roman" w:cs="Times New Roman"/>
                <w:sz w:val="20"/>
                <w:szCs w:val="24"/>
              </w:rPr>
            </w:pPr>
            <w:r w:rsidRPr="00DE47CF">
              <w:rPr>
                <w:rFonts w:ascii="Times New Roman" w:hAnsi="Times New Roman" w:cs="Times New Roman"/>
                <w:sz w:val="20"/>
                <w:szCs w:val="24"/>
              </w:rPr>
              <w:t>Полный тест</w:t>
            </w:r>
          </w:p>
        </w:tc>
        <w:tc>
          <w:tcPr>
            <w:tcW w:w="1134" w:type="dxa"/>
          </w:tcPr>
          <w:p w:rsidR="00DE47CF" w:rsidRPr="00DE47CF" w:rsidRDefault="00DE47CF" w:rsidP="00DE47CF">
            <w:pPr>
              <w:spacing w:after="0" w:line="240" w:lineRule="auto"/>
              <w:rPr>
                <w:rFonts w:ascii="Times New Roman" w:hAnsi="Times New Roman" w:cs="Times New Roman"/>
                <w:sz w:val="20"/>
                <w:szCs w:val="24"/>
              </w:rPr>
            </w:pPr>
          </w:p>
        </w:tc>
        <w:tc>
          <w:tcPr>
            <w:tcW w:w="426" w:type="dxa"/>
          </w:tcPr>
          <w:p w:rsidR="00DE47CF" w:rsidRPr="00DE47CF" w:rsidRDefault="00DE47CF" w:rsidP="00DE47CF">
            <w:pPr>
              <w:spacing w:after="0" w:line="240" w:lineRule="auto"/>
              <w:rPr>
                <w:rFonts w:ascii="Times New Roman" w:hAnsi="Times New Roman" w:cs="Times New Roman"/>
                <w:sz w:val="20"/>
                <w:szCs w:val="24"/>
              </w:rPr>
            </w:pPr>
          </w:p>
        </w:tc>
        <w:tc>
          <w:tcPr>
            <w:tcW w:w="1133" w:type="dxa"/>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276" w:type="dxa"/>
          </w:tcPr>
          <w:p w:rsidR="00DE47CF" w:rsidRPr="00DE47CF" w:rsidRDefault="00DE47CF" w:rsidP="00DE47CF">
            <w:pPr>
              <w:spacing w:after="0" w:line="240" w:lineRule="auto"/>
              <w:rPr>
                <w:rFonts w:ascii="Times New Roman" w:hAnsi="Times New Roman" w:cs="Times New Roman"/>
                <w:sz w:val="20"/>
                <w:szCs w:val="24"/>
              </w:rPr>
            </w:pPr>
          </w:p>
        </w:tc>
        <w:tc>
          <w:tcPr>
            <w:tcW w:w="425" w:type="dxa"/>
          </w:tcPr>
          <w:p w:rsidR="00DE47CF" w:rsidRPr="00DE47CF" w:rsidRDefault="00DE47CF" w:rsidP="00DE47CF">
            <w:pPr>
              <w:spacing w:after="0" w:line="240" w:lineRule="auto"/>
              <w:rPr>
                <w:rFonts w:ascii="Times New Roman" w:hAnsi="Times New Roman" w:cs="Times New Roman"/>
                <w:sz w:val="20"/>
                <w:szCs w:val="24"/>
              </w:rPr>
            </w:pPr>
          </w:p>
        </w:tc>
        <w:tc>
          <w:tcPr>
            <w:tcW w:w="1135" w:type="dxa"/>
          </w:tcPr>
          <w:p w:rsidR="00DE47CF" w:rsidRPr="00DE47CF" w:rsidRDefault="00DE47CF" w:rsidP="00DE47CF">
            <w:pPr>
              <w:spacing w:after="0" w:line="240" w:lineRule="auto"/>
              <w:rPr>
                <w:rFonts w:ascii="Times New Roman" w:hAnsi="Times New Roman" w:cs="Times New Roman"/>
                <w:sz w:val="20"/>
                <w:szCs w:val="24"/>
              </w:rPr>
            </w:pPr>
          </w:p>
        </w:tc>
        <w:tc>
          <w:tcPr>
            <w:tcW w:w="377" w:type="dxa"/>
          </w:tcPr>
          <w:p w:rsidR="00DE47CF" w:rsidRPr="00DE47CF" w:rsidRDefault="00DE47CF" w:rsidP="00DE47CF">
            <w:pPr>
              <w:spacing w:after="0" w:line="240" w:lineRule="auto"/>
              <w:rPr>
                <w:rFonts w:ascii="Times New Roman" w:hAnsi="Times New Roman" w:cs="Times New Roman"/>
                <w:sz w:val="20"/>
                <w:szCs w:val="24"/>
              </w:rPr>
            </w:pPr>
          </w:p>
        </w:tc>
        <w:tc>
          <w:tcPr>
            <w:tcW w:w="1466" w:type="dxa"/>
            <w:gridSpan w:val="2"/>
          </w:tcPr>
          <w:p w:rsidR="00DE47CF" w:rsidRPr="00DE47CF" w:rsidRDefault="00DE47CF" w:rsidP="00DE47CF">
            <w:pPr>
              <w:spacing w:after="0" w:line="240" w:lineRule="auto"/>
              <w:rPr>
                <w:rFonts w:ascii="Times New Roman" w:hAnsi="Times New Roman" w:cs="Times New Roman"/>
                <w:sz w:val="20"/>
                <w:szCs w:val="24"/>
              </w:rPr>
            </w:pPr>
          </w:p>
        </w:tc>
      </w:tr>
    </w:tbl>
    <w:p w:rsid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sz w:val="28"/>
          <w:szCs w:val="28"/>
        </w:rPr>
        <w:lastRenderedPageBreak/>
        <w:t>Вторая консультация «ОГЭ: пробное тестирование» направлена на то, чтобы обучающиеся попробовали свои силы при выполнении заданий КИМ ОГЭ. Длительность консультации определяло время выполнения КИМ. Обучающиеся были поделены на два варианта. По результатам выполнения пробных КИМ ОГЭ было определено количество обучающихся, получивших «3», «4», «5» по таблиц</w:t>
      </w:r>
      <w:r>
        <w:rPr>
          <w:rFonts w:ascii="Times New Roman" w:hAnsi="Times New Roman" w:cs="Times New Roman"/>
          <w:sz w:val="28"/>
          <w:szCs w:val="28"/>
        </w:rPr>
        <w:t>е перевода баллов</w:t>
      </w:r>
      <w:r w:rsidRPr="00DE47CF">
        <w:rPr>
          <w:rFonts w:ascii="Times New Roman" w:hAnsi="Times New Roman" w:cs="Times New Roman"/>
          <w:sz w:val="28"/>
          <w:szCs w:val="28"/>
        </w:rPr>
        <w:t>. Процентное соотношение данных групп отражено в диаграмме (</w:t>
      </w:r>
      <w:r>
        <w:rPr>
          <w:rFonts w:ascii="Times New Roman" w:hAnsi="Times New Roman" w:cs="Times New Roman"/>
          <w:sz w:val="28"/>
          <w:szCs w:val="28"/>
        </w:rPr>
        <w:t>см</w:t>
      </w:r>
      <w:proofErr w:type="gramStart"/>
      <w:r>
        <w:rPr>
          <w:rFonts w:ascii="Times New Roman" w:hAnsi="Times New Roman" w:cs="Times New Roman"/>
          <w:sz w:val="28"/>
          <w:szCs w:val="28"/>
        </w:rPr>
        <w:t>.</w:t>
      </w:r>
      <w:r w:rsidRPr="00DE47CF">
        <w:rPr>
          <w:rFonts w:ascii="Times New Roman" w:hAnsi="Times New Roman" w:cs="Times New Roman"/>
          <w:sz w:val="28"/>
          <w:szCs w:val="28"/>
        </w:rPr>
        <w:t>р</w:t>
      </w:r>
      <w:proofErr w:type="gramEnd"/>
      <w:r w:rsidRPr="00DE47CF">
        <w:rPr>
          <w:rFonts w:ascii="Times New Roman" w:hAnsi="Times New Roman" w:cs="Times New Roman"/>
          <w:sz w:val="28"/>
          <w:szCs w:val="28"/>
        </w:rPr>
        <w:t>ис. 2).</w:t>
      </w:r>
    </w:p>
    <w:p w:rsidR="00DE47CF" w:rsidRPr="00DE47CF" w:rsidRDefault="00DE47CF" w:rsidP="00DE47CF">
      <w:pPr>
        <w:spacing w:after="0"/>
        <w:ind w:firstLine="567"/>
        <w:jc w:val="both"/>
        <w:rPr>
          <w:rFonts w:ascii="Times New Roman" w:hAnsi="Times New Roman" w:cs="Times New Roman"/>
          <w:sz w:val="28"/>
          <w:szCs w:val="28"/>
        </w:rPr>
      </w:pPr>
      <w:r w:rsidRPr="00DE47CF">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47CF" w:rsidRDefault="00DE47CF" w:rsidP="00FE70F9">
      <w:pPr>
        <w:spacing w:after="0"/>
        <w:jc w:val="center"/>
        <w:rPr>
          <w:rFonts w:ascii="Times New Roman" w:hAnsi="Times New Roman" w:cs="Times New Roman"/>
          <w:sz w:val="28"/>
          <w:szCs w:val="28"/>
        </w:rPr>
      </w:pPr>
      <w:r w:rsidRPr="00DE47CF">
        <w:rPr>
          <w:rFonts w:ascii="Times New Roman" w:hAnsi="Times New Roman" w:cs="Times New Roman"/>
          <w:sz w:val="28"/>
          <w:szCs w:val="28"/>
        </w:rPr>
        <w:t>Рис. 2 — Результаты пробного тестирования по материалам КИМ ОГЭ</w:t>
      </w:r>
    </w:p>
    <w:p w:rsidR="00FE70F9" w:rsidRDefault="00FE70F9" w:rsidP="00DE47CF">
      <w:pPr>
        <w:spacing w:after="0"/>
        <w:ind w:firstLine="567"/>
        <w:jc w:val="both"/>
        <w:rPr>
          <w:rFonts w:ascii="Times New Roman" w:hAnsi="Times New Roman" w:cs="Times New Roman"/>
          <w:sz w:val="28"/>
          <w:szCs w:val="28"/>
        </w:rPr>
      </w:pPr>
    </w:p>
    <w:p w:rsidR="00DE47CF" w:rsidRDefault="00FE70F9" w:rsidP="00DE47CF">
      <w:pPr>
        <w:spacing w:after="0"/>
        <w:ind w:firstLine="567"/>
        <w:jc w:val="both"/>
        <w:rPr>
          <w:rFonts w:ascii="Times New Roman" w:hAnsi="Times New Roman" w:cs="Times New Roman"/>
          <w:sz w:val="28"/>
          <w:szCs w:val="28"/>
        </w:rPr>
      </w:pPr>
      <w:r w:rsidRPr="00FE70F9">
        <w:rPr>
          <w:rFonts w:ascii="Times New Roman" w:hAnsi="Times New Roman" w:cs="Times New Roman"/>
          <w:sz w:val="28"/>
          <w:szCs w:val="28"/>
        </w:rPr>
        <w:t>На третьей консультации «Как подготовиться / подготовить себя к ОГЭ» было выяснено, что обучающиеся недовольны своими результатами. Это их мотивировало начать подготовку к ОГЭ в форме самостоятельной работы. Эта консультация проводилась в компьютерном классе. Обучающиеся ознакомились с возможностями сайта «Решу ОГЭ» для тренировки навыков выполнения каждого задания КИМ ОГЭ. Учитель показал, как работать на сайте в режиме тренажера, как составлять варианты тестов, как проверять задания с развернутым ответом.</w:t>
      </w:r>
    </w:p>
    <w:p w:rsidR="007C1C03" w:rsidRPr="007C1C03" w:rsidRDefault="007C1C03" w:rsidP="007C1C03">
      <w:pPr>
        <w:ind w:firstLine="567"/>
        <w:jc w:val="both"/>
        <w:rPr>
          <w:rFonts w:ascii="Times New Roman" w:hAnsi="Times New Roman" w:cs="Times New Roman"/>
          <w:sz w:val="28"/>
          <w:szCs w:val="28"/>
        </w:rPr>
      </w:pPr>
      <w:r w:rsidRPr="007C1C03">
        <w:rPr>
          <w:rFonts w:ascii="Times New Roman" w:hAnsi="Times New Roman" w:cs="Times New Roman"/>
          <w:sz w:val="28"/>
          <w:szCs w:val="28"/>
        </w:rPr>
        <w:t>В течение месяца не все обучающиеся выполнили план самостоятельной работы в полном объеме, но оценка «план не выполнен» не поставлена никому. Обучающиеся выполнили от 2 до 4 пробных тестирований на сайте, о чем сделаны отметки в планах. Результаты одного из выполненных самостоятельно тестов занесены в протокол для проведения анализа.</w:t>
      </w:r>
      <w:r>
        <w:rPr>
          <w:rFonts w:ascii="Times New Roman" w:hAnsi="Times New Roman" w:cs="Times New Roman"/>
          <w:sz w:val="28"/>
          <w:szCs w:val="28"/>
        </w:rPr>
        <w:t xml:space="preserve"> </w:t>
      </w:r>
      <w:r w:rsidRPr="007C1C03">
        <w:rPr>
          <w:rFonts w:ascii="Times New Roman" w:hAnsi="Times New Roman" w:cs="Times New Roman"/>
          <w:sz w:val="28"/>
          <w:szCs w:val="28"/>
        </w:rPr>
        <w:t xml:space="preserve">При сравнении количества набранных баллов за варианты ОГЭ выяснилось, что успех обучающихся носит </w:t>
      </w:r>
      <w:r w:rsidRPr="007C1C03">
        <w:rPr>
          <w:rFonts w:ascii="Times New Roman" w:hAnsi="Times New Roman" w:cs="Times New Roman"/>
          <w:sz w:val="28"/>
          <w:szCs w:val="28"/>
        </w:rPr>
        <w:lastRenderedPageBreak/>
        <w:t>переменный характер с небольшой тенденцией на улучшение результата (</w:t>
      </w:r>
      <w:r>
        <w:rPr>
          <w:rFonts w:ascii="Times New Roman" w:hAnsi="Times New Roman" w:cs="Times New Roman"/>
          <w:sz w:val="28"/>
          <w:szCs w:val="28"/>
        </w:rPr>
        <w:t xml:space="preserve">см. </w:t>
      </w:r>
      <w:r w:rsidRPr="007C1C03">
        <w:rPr>
          <w:rFonts w:ascii="Times New Roman" w:hAnsi="Times New Roman" w:cs="Times New Roman"/>
          <w:sz w:val="28"/>
          <w:szCs w:val="28"/>
        </w:rPr>
        <w:t xml:space="preserve">рис. </w:t>
      </w:r>
      <w:r>
        <w:rPr>
          <w:rFonts w:ascii="Times New Roman" w:hAnsi="Times New Roman" w:cs="Times New Roman"/>
          <w:sz w:val="28"/>
          <w:szCs w:val="28"/>
        </w:rPr>
        <w:t>3</w:t>
      </w:r>
      <w:r w:rsidRPr="007C1C03">
        <w:rPr>
          <w:rFonts w:ascii="Times New Roman" w:hAnsi="Times New Roman" w:cs="Times New Roman"/>
          <w:sz w:val="28"/>
          <w:szCs w:val="28"/>
        </w:rPr>
        <w:t xml:space="preserve">). </w:t>
      </w:r>
    </w:p>
    <w:p w:rsidR="007C1C03" w:rsidRDefault="007C1C03" w:rsidP="007C1C03">
      <w:pPr>
        <w:jc w:val="center"/>
        <w:rPr>
          <w:rFonts w:eastAsia="Times New Roman"/>
          <w:szCs w:val="28"/>
        </w:rPr>
      </w:pPr>
      <w:r>
        <w:rPr>
          <w:rFonts w:eastAsia="Times New Roman"/>
          <w:noProof/>
          <w:szCs w:val="28"/>
          <w:lang w:eastAsia="ru-RU"/>
        </w:rPr>
        <w:drawing>
          <wp:inline distT="0" distB="0" distL="0" distR="0">
            <wp:extent cx="5951444" cy="2861534"/>
            <wp:effectExtent l="19050" t="0" r="11206"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1C03" w:rsidRPr="007C1C03" w:rsidRDefault="007C1C03" w:rsidP="007C1C03">
      <w:pPr>
        <w:jc w:val="center"/>
        <w:rPr>
          <w:rFonts w:ascii="Times New Roman" w:eastAsia="Times New Roman" w:hAnsi="Times New Roman" w:cs="Times New Roman"/>
          <w:sz w:val="28"/>
          <w:szCs w:val="28"/>
        </w:rPr>
      </w:pPr>
      <w:r w:rsidRPr="007C1C03">
        <w:rPr>
          <w:rFonts w:ascii="Times New Roman" w:eastAsia="Times New Roman" w:hAnsi="Times New Roman" w:cs="Times New Roman"/>
          <w:sz w:val="28"/>
          <w:szCs w:val="28"/>
        </w:rPr>
        <w:t>Рис. 4 — Результаты пробных тестирований в сравнении (указано количество обучающихся в процентах)</w:t>
      </w:r>
    </w:p>
    <w:p w:rsidR="007C1C03" w:rsidRPr="007C1C03" w:rsidRDefault="007C1C03" w:rsidP="007C1C03">
      <w:pPr>
        <w:spacing w:after="0"/>
        <w:ind w:firstLine="567"/>
        <w:jc w:val="both"/>
        <w:rPr>
          <w:rFonts w:ascii="Times New Roman" w:hAnsi="Times New Roman" w:cs="Times New Roman"/>
          <w:sz w:val="28"/>
          <w:szCs w:val="28"/>
        </w:rPr>
      </w:pPr>
      <w:r w:rsidRPr="007C1C03">
        <w:rPr>
          <w:rFonts w:ascii="Times New Roman" w:hAnsi="Times New Roman" w:cs="Times New Roman"/>
          <w:sz w:val="28"/>
          <w:szCs w:val="28"/>
        </w:rPr>
        <w:t xml:space="preserve">Это говорит, что необходимо продолжать подготовку к ОГЭ, чтобы высокий результат за тестирование закрепился и стал стабильным. Только тогда </w:t>
      </w:r>
      <w:proofErr w:type="gramStart"/>
      <w:r w:rsidRPr="007C1C03">
        <w:rPr>
          <w:rFonts w:ascii="Times New Roman" w:hAnsi="Times New Roman" w:cs="Times New Roman"/>
          <w:sz w:val="28"/>
          <w:szCs w:val="28"/>
        </w:rPr>
        <w:t>обучающиеся</w:t>
      </w:r>
      <w:proofErr w:type="gramEnd"/>
      <w:r w:rsidRPr="007C1C03">
        <w:rPr>
          <w:rFonts w:ascii="Times New Roman" w:hAnsi="Times New Roman" w:cs="Times New Roman"/>
          <w:sz w:val="28"/>
          <w:szCs w:val="28"/>
        </w:rPr>
        <w:t xml:space="preserve"> и учитель могут быть полностью уверены в успешной сдаче ОГЭ.</w:t>
      </w:r>
    </w:p>
    <w:p w:rsidR="007C1C03" w:rsidRDefault="007C1C03" w:rsidP="007C1C03">
      <w:pPr>
        <w:spacing w:after="0"/>
        <w:ind w:firstLine="567"/>
        <w:jc w:val="both"/>
        <w:rPr>
          <w:rFonts w:ascii="Times New Roman" w:hAnsi="Times New Roman" w:cs="Times New Roman"/>
          <w:sz w:val="28"/>
          <w:szCs w:val="28"/>
        </w:rPr>
      </w:pPr>
      <w:r w:rsidRPr="007C1C03">
        <w:rPr>
          <w:rFonts w:ascii="Times New Roman" w:hAnsi="Times New Roman" w:cs="Times New Roman"/>
          <w:sz w:val="28"/>
          <w:szCs w:val="28"/>
        </w:rPr>
        <w:t xml:space="preserve">На этой консультации учитель представил обучающимся информацию об устном собеседовании, которое запланировано на декабрь. Обучающиеся ознакомились с целью проведения устной части ОГЭ, регламентом проведения, с содержанием заданий и критериями оценки. </w:t>
      </w:r>
    </w:p>
    <w:p w:rsidR="007C1C03" w:rsidRPr="007C1C03" w:rsidRDefault="007C1C03" w:rsidP="007C1C03">
      <w:pPr>
        <w:spacing w:after="0"/>
        <w:ind w:firstLine="567"/>
        <w:jc w:val="both"/>
        <w:rPr>
          <w:rFonts w:ascii="Times New Roman" w:hAnsi="Times New Roman" w:cs="Times New Roman"/>
          <w:sz w:val="28"/>
          <w:szCs w:val="28"/>
        </w:rPr>
      </w:pPr>
      <w:r w:rsidRPr="007C1C03">
        <w:rPr>
          <w:rFonts w:ascii="Times New Roman" w:hAnsi="Times New Roman" w:cs="Times New Roman"/>
          <w:sz w:val="28"/>
          <w:szCs w:val="28"/>
        </w:rPr>
        <w:t xml:space="preserve">При организации самостоятельной работы при подготовке </w:t>
      </w:r>
      <w:proofErr w:type="gramStart"/>
      <w:r w:rsidRPr="007C1C03">
        <w:rPr>
          <w:rFonts w:ascii="Times New Roman" w:hAnsi="Times New Roman" w:cs="Times New Roman"/>
          <w:sz w:val="28"/>
          <w:szCs w:val="28"/>
        </w:rPr>
        <w:t>обучающихся</w:t>
      </w:r>
      <w:proofErr w:type="gramEnd"/>
      <w:r w:rsidRPr="007C1C03">
        <w:rPr>
          <w:rFonts w:ascii="Times New Roman" w:hAnsi="Times New Roman" w:cs="Times New Roman"/>
          <w:sz w:val="28"/>
          <w:szCs w:val="28"/>
        </w:rPr>
        <w:t xml:space="preserve"> к ОГЭ по русскому языку рекомендуется  выстраивать ее поэтапно, использовать материалы сайта «Решу ОГЭ», в качестве инструмента педагогического управления использовать план. Благодаря этому учебная деятельность </w:t>
      </w:r>
      <w:proofErr w:type="gramStart"/>
      <w:r w:rsidRPr="007C1C03">
        <w:rPr>
          <w:rFonts w:ascii="Times New Roman" w:hAnsi="Times New Roman" w:cs="Times New Roman"/>
          <w:sz w:val="28"/>
          <w:szCs w:val="28"/>
        </w:rPr>
        <w:t>обучающихся</w:t>
      </w:r>
      <w:proofErr w:type="gramEnd"/>
      <w:r w:rsidRPr="007C1C03">
        <w:rPr>
          <w:rFonts w:ascii="Times New Roman" w:hAnsi="Times New Roman" w:cs="Times New Roman"/>
          <w:sz w:val="28"/>
          <w:szCs w:val="28"/>
        </w:rPr>
        <w:t xml:space="preserve"> будет целенаправленной, результаты работы будут зафиксированы и проанализированы.   </w:t>
      </w:r>
    </w:p>
    <w:p w:rsidR="007C1C03" w:rsidRDefault="007C1C03" w:rsidP="007C1C03">
      <w:pPr>
        <w:spacing w:after="0"/>
        <w:ind w:firstLine="567"/>
        <w:jc w:val="both"/>
        <w:rPr>
          <w:rFonts w:ascii="Times New Roman" w:hAnsi="Times New Roman" w:cs="Times New Roman"/>
          <w:sz w:val="28"/>
          <w:szCs w:val="28"/>
        </w:rPr>
      </w:pPr>
      <w:r w:rsidRPr="007C1C03">
        <w:rPr>
          <w:rFonts w:ascii="Times New Roman" w:hAnsi="Times New Roman" w:cs="Times New Roman"/>
          <w:sz w:val="28"/>
          <w:szCs w:val="28"/>
        </w:rPr>
        <w:t>Частичная апробация</w:t>
      </w:r>
      <w:r>
        <w:rPr>
          <w:rFonts w:ascii="Times New Roman" w:hAnsi="Times New Roman" w:cs="Times New Roman"/>
          <w:sz w:val="28"/>
          <w:szCs w:val="28"/>
        </w:rPr>
        <w:t xml:space="preserve"> </w:t>
      </w:r>
      <w:r w:rsidRPr="007C1C03">
        <w:rPr>
          <w:rFonts w:ascii="Times New Roman" w:hAnsi="Times New Roman" w:cs="Times New Roman"/>
          <w:sz w:val="28"/>
          <w:szCs w:val="28"/>
        </w:rPr>
        <w:t xml:space="preserve">разработанной нами методики организации подготовки </w:t>
      </w:r>
      <w:proofErr w:type="gramStart"/>
      <w:r w:rsidRPr="007C1C03">
        <w:rPr>
          <w:rFonts w:ascii="Times New Roman" w:hAnsi="Times New Roman" w:cs="Times New Roman"/>
          <w:sz w:val="28"/>
          <w:szCs w:val="28"/>
        </w:rPr>
        <w:t>обучающихся</w:t>
      </w:r>
      <w:proofErr w:type="gramEnd"/>
      <w:r w:rsidRPr="007C1C03">
        <w:rPr>
          <w:rFonts w:ascii="Times New Roman" w:hAnsi="Times New Roman" w:cs="Times New Roman"/>
          <w:sz w:val="28"/>
          <w:szCs w:val="28"/>
        </w:rPr>
        <w:t xml:space="preserve"> к ОГЭ в форме самостоятельной работы показала, что учебная деятельность стала мотивированной, инициативной. Это обусловлено тем, что инструменты для подготовки к ОГЭ стали находиться в руках школьников. Анализ результатов пробного тестирования показал положительную динамику навыков выполнения заданий КИМ ОГЭ.</w:t>
      </w:r>
    </w:p>
    <w:p w:rsidR="00FE70F9" w:rsidRDefault="00FE70F9" w:rsidP="00DE47CF">
      <w:pPr>
        <w:spacing w:after="0"/>
        <w:ind w:firstLine="567"/>
        <w:jc w:val="both"/>
        <w:rPr>
          <w:rFonts w:ascii="Times New Roman" w:hAnsi="Times New Roman" w:cs="Times New Roman"/>
          <w:sz w:val="28"/>
          <w:szCs w:val="28"/>
        </w:rPr>
      </w:pPr>
    </w:p>
    <w:p w:rsidR="00DE47CF" w:rsidRDefault="00DE47CF">
      <w:pPr>
        <w:rPr>
          <w:rFonts w:ascii="Times New Roman" w:hAnsi="Times New Roman" w:cs="Times New Roman"/>
          <w:sz w:val="28"/>
          <w:szCs w:val="28"/>
        </w:rPr>
      </w:pPr>
      <w:r>
        <w:rPr>
          <w:rFonts w:ascii="Times New Roman" w:hAnsi="Times New Roman" w:cs="Times New Roman"/>
          <w:sz w:val="28"/>
          <w:szCs w:val="28"/>
        </w:rPr>
        <w:br w:type="page"/>
      </w:r>
    </w:p>
    <w:p w:rsidR="00DE47CF" w:rsidRPr="007C1C03" w:rsidRDefault="00DE47CF" w:rsidP="00DE47CF">
      <w:pPr>
        <w:spacing w:after="0"/>
        <w:jc w:val="center"/>
        <w:rPr>
          <w:rFonts w:ascii="Times New Roman" w:hAnsi="Times New Roman" w:cs="Times New Roman"/>
          <w:b/>
          <w:sz w:val="28"/>
          <w:szCs w:val="28"/>
        </w:rPr>
      </w:pPr>
      <w:r w:rsidRPr="007C1C03">
        <w:rPr>
          <w:rFonts w:ascii="Times New Roman" w:hAnsi="Times New Roman" w:cs="Times New Roman"/>
          <w:b/>
          <w:sz w:val="28"/>
          <w:szCs w:val="28"/>
        </w:rPr>
        <w:lastRenderedPageBreak/>
        <w:t>Библиографический список</w:t>
      </w:r>
    </w:p>
    <w:p w:rsidR="00DE47CF" w:rsidRPr="00DE47CF" w:rsidRDefault="00DE47CF" w:rsidP="00DE47CF">
      <w:pPr>
        <w:pStyle w:val="a3"/>
        <w:numPr>
          <w:ilvl w:val="0"/>
          <w:numId w:val="2"/>
        </w:numPr>
        <w:spacing w:after="0"/>
        <w:jc w:val="both"/>
        <w:rPr>
          <w:rFonts w:ascii="Times New Roman" w:hAnsi="Times New Roman" w:cs="Times New Roman"/>
          <w:sz w:val="28"/>
          <w:szCs w:val="28"/>
        </w:rPr>
      </w:pPr>
      <w:r w:rsidRPr="00DE47CF">
        <w:rPr>
          <w:rFonts w:ascii="Times New Roman" w:hAnsi="Times New Roman" w:cs="Times New Roman"/>
          <w:sz w:val="28"/>
          <w:szCs w:val="28"/>
        </w:rPr>
        <w:t>Зимняя, И.А. Педагогическая психология [Текст] / И.А. Зимняя. — Москва</w:t>
      </w:r>
      <w:proofErr w:type="gramStart"/>
      <w:r w:rsidRPr="00DE47CF">
        <w:rPr>
          <w:rFonts w:ascii="Times New Roman" w:hAnsi="Times New Roman" w:cs="Times New Roman"/>
          <w:sz w:val="28"/>
          <w:szCs w:val="28"/>
        </w:rPr>
        <w:t xml:space="preserve"> :</w:t>
      </w:r>
      <w:proofErr w:type="gramEnd"/>
      <w:r w:rsidRPr="00DE47CF">
        <w:rPr>
          <w:rFonts w:ascii="Times New Roman" w:hAnsi="Times New Roman" w:cs="Times New Roman"/>
          <w:sz w:val="28"/>
          <w:szCs w:val="28"/>
        </w:rPr>
        <w:t xml:space="preserve"> Логос, 2005. — 248-262 с.</w:t>
      </w:r>
    </w:p>
    <w:p w:rsidR="00DE47CF" w:rsidRPr="00DE47CF" w:rsidRDefault="00DE47CF" w:rsidP="00DE47CF">
      <w:pPr>
        <w:numPr>
          <w:ilvl w:val="0"/>
          <w:numId w:val="2"/>
        </w:numPr>
        <w:autoSpaceDE w:val="0"/>
        <w:autoSpaceDN w:val="0"/>
        <w:adjustRightInd w:val="0"/>
        <w:spacing w:after="0"/>
        <w:jc w:val="both"/>
        <w:rPr>
          <w:rFonts w:ascii="Times New Roman" w:hAnsi="Times New Roman" w:cs="Times New Roman"/>
          <w:sz w:val="28"/>
          <w:szCs w:val="28"/>
          <w:lang w:eastAsia="ru-RU"/>
        </w:rPr>
      </w:pPr>
      <w:r w:rsidRPr="00DE47CF">
        <w:rPr>
          <w:rFonts w:ascii="Times New Roman" w:hAnsi="Times New Roman" w:cs="Times New Roman"/>
          <w:sz w:val="28"/>
          <w:szCs w:val="28"/>
          <w:lang w:eastAsia="ru-RU"/>
        </w:rPr>
        <w:t xml:space="preserve">Теория и методика обучения русскому языку: конспекты лекций, планы практических занятий, контрольные работы, тесты: учебно-методический комплекс </w:t>
      </w:r>
      <w:r w:rsidRPr="00DE47CF">
        <w:rPr>
          <w:rFonts w:ascii="Times New Roman" w:hAnsi="Times New Roman" w:cs="Times New Roman"/>
          <w:sz w:val="28"/>
          <w:szCs w:val="28"/>
        </w:rPr>
        <w:t>[Текст]</w:t>
      </w:r>
      <w:r w:rsidRPr="00DE47CF">
        <w:rPr>
          <w:rFonts w:ascii="Times New Roman" w:hAnsi="Times New Roman" w:cs="Times New Roman"/>
          <w:sz w:val="28"/>
          <w:szCs w:val="28"/>
          <w:lang w:eastAsia="ru-RU"/>
        </w:rPr>
        <w:t>; авт.-сост. Н.А. Артеменко</w:t>
      </w:r>
      <w:proofErr w:type="gramStart"/>
      <w:r w:rsidRPr="00DE47CF">
        <w:rPr>
          <w:rFonts w:ascii="Times New Roman" w:hAnsi="Times New Roman" w:cs="Times New Roman"/>
          <w:sz w:val="28"/>
          <w:szCs w:val="28"/>
          <w:lang w:eastAsia="ru-RU"/>
        </w:rPr>
        <w:t xml:space="preserve"> ;</w:t>
      </w:r>
      <w:proofErr w:type="gramEnd"/>
      <w:r w:rsidRPr="00DE47CF">
        <w:rPr>
          <w:rFonts w:ascii="Times New Roman" w:hAnsi="Times New Roman" w:cs="Times New Roman"/>
          <w:sz w:val="28"/>
          <w:szCs w:val="28"/>
          <w:lang w:eastAsia="ru-RU"/>
        </w:rPr>
        <w:t xml:space="preserve"> ГОУ ВПО «Томский государственный педагогический университет». — Томск</w:t>
      </w:r>
      <w:proofErr w:type="gramStart"/>
      <w:r w:rsidRPr="00DE47CF">
        <w:rPr>
          <w:rFonts w:ascii="Times New Roman" w:hAnsi="Times New Roman" w:cs="Times New Roman"/>
          <w:sz w:val="28"/>
          <w:szCs w:val="28"/>
          <w:lang w:eastAsia="ru-RU"/>
        </w:rPr>
        <w:t xml:space="preserve"> :</w:t>
      </w:r>
      <w:proofErr w:type="gramEnd"/>
      <w:r w:rsidRPr="00DE47CF">
        <w:rPr>
          <w:rFonts w:ascii="Times New Roman" w:hAnsi="Times New Roman" w:cs="Times New Roman"/>
          <w:sz w:val="28"/>
          <w:szCs w:val="28"/>
          <w:lang w:eastAsia="ru-RU"/>
        </w:rPr>
        <w:t xml:space="preserve"> Изд-во ТГПУ, 2009. — 284 с.</w:t>
      </w:r>
    </w:p>
    <w:p w:rsidR="00DE47CF" w:rsidRPr="00DE47CF" w:rsidRDefault="00DE47CF" w:rsidP="00DE47CF">
      <w:pPr>
        <w:pStyle w:val="a3"/>
        <w:numPr>
          <w:ilvl w:val="0"/>
          <w:numId w:val="2"/>
        </w:numPr>
        <w:spacing w:after="0" w:line="360" w:lineRule="auto"/>
        <w:jc w:val="both"/>
        <w:rPr>
          <w:rFonts w:ascii="Times New Roman" w:hAnsi="Times New Roman" w:cs="Times New Roman"/>
          <w:sz w:val="28"/>
          <w:szCs w:val="28"/>
        </w:rPr>
      </w:pPr>
      <w:proofErr w:type="spellStart"/>
      <w:proofErr w:type="gramStart"/>
      <w:r w:rsidRPr="00DE47CF">
        <w:rPr>
          <w:rFonts w:ascii="Times New Roman" w:hAnsi="Times New Roman" w:cs="Times New Roman"/>
          <w:sz w:val="28"/>
          <w:szCs w:val="28"/>
        </w:rPr>
        <w:t>Лямкина</w:t>
      </w:r>
      <w:proofErr w:type="spellEnd"/>
      <w:r w:rsidRPr="00DE47CF">
        <w:rPr>
          <w:rFonts w:ascii="Times New Roman" w:hAnsi="Times New Roman" w:cs="Times New Roman"/>
          <w:sz w:val="28"/>
          <w:szCs w:val="28"/>
        </w:rPr>
        <w:t xml:space="preserve">, Л.С. Организация самостоятельной работы обучающихся на уроках русского языка [Текст] / Л.С. </w:t>
      </w:r>
      <w:proofErr w:type="spellStart"/>
      <w:r w:rsidRPr="00DE47CF">
        <w:rPr>
          <w:rFonts w:ascii="Times New Roman" w:hAnsi="Times New Roman" w:cs="Times New Roman"/>
          <w:sz w:val="28"/>
          <w:szCs w:val="28"/>
        </w:rPr>
        <w:t>Лямкина</w:t>
      </w:r>
      <w:proofErr w:type="spellEnd"/>
      <w:r w:rsidRPr="00DE47CF">
        <w:rPr>
          <w:rFonts w:ascii="Times New Roman" w:hAnsi="Times New Roman" w:cs="Times New Roman"/>
          <w:sz w:val="28"/>
          <w:szCs w:val="28"/>
        </w:rPr>
        <w:t xml:space="preserve"> // Образование, карьера, общество. — 2015. — №1(44).</w:t>
      </w:r>
      <w:proofErr w:type="gramEnd"/>
      <w:r w:rsidRPr="00DE47CF">
        <w:rPr>
          <w:rFonts w:ascii="Times New Roman" w:hAnsi="Times New Roman" w:cs="Times New Roman"/>
          <w:sz w:val="28"/>
          <w:szCs w:val="28"/>
        </w:rPr>
        <w:t xml:space="preserve"> — С. 33-35.  </w:t>
      </w:r>
    </w:p>
    <w:p w:rsidR="00DE47CF" w:rsidRPr="007C1C03" w:rsidRDefault="00DE47CF" w:rsidP="007C1C03">
      <w:pPr>
        <w:spacing w:after="0"/>
        <w:jc w:val="both"/>
        <w:rPr>
          <w:rFonts w:ascii="Times New Roman" w:hAnsi="Times New Roman" w:cs="Times New Roman"/>
          <w:sz w:val="28"/>
          <w:szCs w:val="28"/>
        </w:rPr>
      </w:pPr>
    </w:p>
    <w:sectPr w:rsidR="00DE47CF" w:rsidRPr="007C1C03" w:rsidSect="00182D6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55E0"/>
    <w:multiLevelType w:val="hybridMultilevel"/>
    <w:tmpl w:val="E47276F2"/>
    <w:lvl w:ilvl="0" w:tplc="ADDC62E2">
      <w:start w:val="1"/>
      <w:numFmt w:val="decimal"/>
      <w:lvlText w:val="%1."/>
      <w:lvlJc w:val="left"/>
      <w:pPr>
        <w:ind w:left="644"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B0C16"/>
    <w:multiLevelType w:val="hybridMultilevel"/>
    <w:tmpl w:val="DB5004FC"/>
    <w:lvl w:ilvl="0" w:tplc="0E2CFD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8717B"/>
    <w:multiLevelType w:val="hybridMultilevel"/>
    <w:tmpl w:val="9C88A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182D63"/>
    <w:rsid w:val="00182D63"/>
    <w:rsid w:val="004B345C"/>
    <w:rsid w:val="00522D09"/>
    <w:rsid w:val="00776733"/>
    <w:rsid w:val="007C1C03"/>
    <w:rsid w:val="00DB51EA"/>
    <w:rsid w:val="00DD38C5"/>
    <w:rsid w:val="00DE47CF"/>
    <w:rsid w:val="00FE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7CF"/>
    <w:pPr>
      <w:ind w:left="720"/>
      <w:contextualSpacing/>
    </w:pPr>
  </w:style>
  <w:style w:type="character" w:styleId="a4">
    <w:name w:val="Hyperlink"/>
    <w:uiPriority w:val="99"/>
    <w:unhideWhenUsed/>
    <w:rsid w:val="00DE47CF"/>
    <w:rPr>
      <w:color w:val="0000FF"/>
      <w:u w:val="single"/>
    </w:rPr>
  </w:style>
  <w:style w:type="paragraph" w:styleId="a5">
    <w:name w:val="Balloon Text"/>
    <w:basedOn w:val="a"/>
    <w:link w:val="a6"/>
    <w:uiPriority w:val="99"/>
    <w:semiHidden/>
    <w:unhideWhenUsed/>
    <w:rsid w:val="00DE4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7CF"/>
    <w:rPr>
      <w:rFonts w:ascii="Tahoma" w:hAnsi="Tahoma" w:cs="Tahoma"/>
      <w:sz w:val="16"/>
      <w:szCs w:val="16"/>
    </w:rPr>
  </w:style>
  <w:style w:type="paragraph" w:customStyle="1" w:styleId="Default">
    <w:name w:val="Default"/>
    <w:rsid w:val="00DE47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tx>
                <c:rich>
                  <a:bodyPr/>
                  <a:lstStyle/>
                  <a:p>
                    <a:r>
                      <a:rPr lang="ru-RU"/>
                      <a:t>11%</a:t>
                    </a:r>
                  </a:p>
                </c:rich>
              </c:tx>
              <c:showLegendKey val="0"/>
              <c:showVal val="1"/>
              <c:showCatName val="1"/>
              <c:showSerName val="0"/>
              <c:showPercent val="1"/>
              <c:showBubbleSize val="0"/>
            </c:dLbl>
            <c:dLbl>
              <c:idx val="1"/>
              <c:tx>
                <c:rich>
                  <a:bodyPr/>
                  <a:lstStyle/>
                  <a:p>
                    <a:r>
                      <a:rPr lang="en-US"/>
                      <a:t>63%</a:t>
                    </a:r>
                  </a:p>
                </c:rich>
              </c:tx>
              <c:showLegendKey val="0"/>
              <c:showVal val="1"/>
              <c:showCatName val="1"/>
              <c:showSerName val="0"/>
              <c:showPercent val="1"/>
              <c:showBubbleSize val="0"/>
            </c:dLbl>
            <c:dLbl>
              <c:idx val="2"/>
              <c:tx>
                <c:rich>
                  <a:bodyPr/>
                  <a:lstStyle/>
                  <a:p>
                    <a:r>
                      <a:rPr lang="en-US"/>
                      <a:t>21%</a:t>
                    </a:r>
                  </a:p>
                </c:rich>
              </c:tx>
              <c:showLegendKey val="0"/>
              <c:showVal val="1"/>
              <c:showCatName val="1"/>
              <c:showSerName val="0"/>
              <c:showPercent val="1"/>
              <c:showBubbleSize val="0"/>
            </c:dLbl>
            <c:dLbl>
              <c:idx val="3"/>
              <c:tx>
                <c:rich>
                  <a:bodyPr/>
                  <a:lstStyle/>
                  <a:p>
                    <a:r>
                      <a:rPr lang="en-US"/>
                      <a:t>5%</a:t>
                    </a:r>
                  </a:p>
                </c:rich>
              </c:tx>
              <c:showLegendKey val="0"/>
              <c:showVal val="1"/>
              <c:showCatName val="1"/>
              <c:showSerName val="0"/>
              <c:showPercent val="1"/>
              <c:showBubbleSize val="0"/>
            </c:dLbl>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"не сдано"</c:v>
                </c:pt>
                <c:pt idx="1">
                  <c:v>"3"</c:v>
                </c:pt>
                <c:pt idx="2">
                  <c:v>"4"</c:v>
                </c:pt>
                <c:pt idx="3">
                  <c:v>"5"</c:v>
                </c:pt>
              </c:strCache>
            </c:strRef>
          </c:cat>
          <c:val>
            <c:numRef>
              <c:f>Лист1!$B$2:$B$5</c:f>
              <c:numCache>
                <c:formatCode>General</c:formatCode>
                <c:ptCount val="4"/>
                <c:pt idx="0">
                  <c:v>2</c:v>
                </c:pt>
                <c:pt idx="1">
                  <c:v>12</c:v>
                </c:pt>
                <c:pt idx="2">
                  <c:v>4</c:v>
                </c:pt>
                <c:pt idx="3">
                  <c:v>1</c:v>
                </c:pt>
              </c:numCache>
            </c:numRef>
          </c:val>
          <c:extLst xmlns:c16r2="http://schemas.microsoft.com/office/drawing/2015/06/chart">
            <c:ext xmlns:c16="http://schemas.microsoft.com/office/drawing/2014/chart" uri="{C3380CC4-5D6E-409C-BE32-E72D297353CC}">
              <c16:uniqueId val="{00000000-99FE-854C-8288-22C8BF48ECDF}"/>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Тест 1</c:v>
                </c:pt>
              </c:strCache>
            </c:strRef>
          </c:tx>
          <c:invertIfNegative val="0"/>
          <c:dLbls>
            <c:delete val="1"/>
          </c:dLbls>
          <c:cat>
            <c:strRef>
              <c:f>Лист1!$A$2:$A$11</c:f>
              <c:strCache>
                <c:ptCount val="10"/>
                <c:pt idx="0">
                  <c:v>Изложение </c:v>
                </c:pt>
                <c:pt idx="1">
                  <c:v>Синтаксический анализ №1</c:v>
                </c:pt>
                <c:pt idx="2">
                  <c:v>Пунктуационный анализ</c:v>
                </c:pt>
                <c:pt idx="3">
                  <c:v>Синтаксический анализ №2</c:v>
                </c:pt>
                <c:pt idx="4">
                  <c:v>Орфографический анализ </c:v>
                </c:pt>
                <c:pt idx="5">
                  <c:v>Анализ содержания текста</c:v>
                </c:pt>
                <c:pt idx="6">
                  <c:v>Анализ средств выразительности</c:v>
                </c:pt>
                <c:pt idx="7">
                  <c:v>Лексический анализ</c:v>
                </c:pt>
                <c:pt idx="8">
                  <c:v>Сочинение </c:v>
                </c:pt>
                <c:pt idx="9">
                  <c:v>Грамотность</c:v>
                </c:pt>
              </c:strCache>
            </c:strRef>
          </c:cat>
          <c:val>
            <c:numRef>
              <c:f>Лист1!$B$2:$B$11</c:f>
              <c:numCache>
                <c:formatCode>General</c:formatCode>
                <c:ptCount val="10"/>
                <c:pt idx="0">
                  <c:v>26</c:v>
                </c:pt>
                <c:pt idx="1">
                  <c:v>79</c:v>
                </c:pt>
                <c:pt idx="2">
                  <c:v>31.5</c:v>
                </c:pt>
                <c:pt idx="3">
                  <c:v>4.5</c:v>
                </c:pt>
                <c:pt idx="4">
                  <c:v>58</c:v>
                </c:pt>
                <c:pt idx="5">
                  <c:v>95</c:v>
                </c:pt>
                <c:pt idx="6">
                  <c:v>21</c:v>
                </c:pt>
                <c:pt idx="7">
                  <c:v>31.5</c:v>
                </c:pt>
                <c:pt idx="8">
                  <c:v>58</c:v>
                </c:pt>
                <c:pt idx="9">
                  <c:v>10.5</c:v>
                </c:pt>
              </c:numCache>
            </c:numRef>
          </c:val>
          <c:extLst xmlns:c16r2="http://schemas.microsoft.com/office/drawing/2015/06/chart">
            <c:ext xmlns:c16="http://schemas.microsoft.com/office/drawing/2014/chart" uri="{C3380CC4-5D6E-409C-BE32-E72D297353CC}">
              <c16:uniqueId val="{00000000-C836-8646-B65E-5C09A2A4DB33}"/>
            </c:ext>
          </c:extLst>
        </c:ser>
        <c:ser>
          <c:idx val="1"/>
          <c:order val="1"/>
          <c:tx>
            <c:strRef>
              <c:f>Лист1!$C$1</c:f>
              <c:strCache>
                <c:ptCount val="1"/>
                <c:pt idx="0">
                  <c:v>Тест 2 </c:v>
                </c:pt>
              </c:strCache>
            </c:strRef>
          </c:tx>
          <c:invertIfNegative val="0"/>
          <c:dLbls>
            <c:delete val="1"/>
          </c:dLbls>
          <c:cat>
            <c:strRef>
              <c:f>Лист1!$A$2:$A$11</c:f>
              <c:strCache>
                <c:ptCount val="10"/>
                <c:pt idx="0">
                  <c:v>Изложение </c:v>
                </c:pt>
                <c:pt idx="1">
                  <c:v>Синтаксический анализ №1</c:v>
                </c:pt>
                <c:pt idx="2">
                  <c:v>Пунктуационный анализ</c:v>
                </c:pt>
                <c:pt idx="3">
                  <c:v>Синтаксический анализ №2</c:v>
                </c:pt>
                <c:pt idx="4">
                  <c:v>Орфографический анализ </c:v>
                </c:pt>
                <c:pt idx="5">
                  <c:v>Анализ содержания текста</c:v>
                </c:pt>
                <c:pt idx="6">
                  <c:v>Анализ средств выразительности</c:v>
                </c:pt>
                <c:pt idx="7">
                  <c:v>Лексический анализ</c:v>
                </c:pt>
                <c:pt idx="8">
                  <c:v>Сочинение </c:v>
                </c:pt>
                <c:pt idx="9">
                  <c:v>Грамотность</c:v>
                </c:pt>
              </c:strCache>
            </c:strRef>
          </c:cat>
          <c:val>
            <c:numRef>
              <c:f>Лист1!$C$2:$C$11</c:f>
              <c:numCache>
                <c:formatCode>General</c:formatCode>
                <c:ptCount val="10"/>
                <c:pt idx="0">
                  <c:v>34</c:v>
                </c:pt>
                <c:pt idx="1">
                  <c:v>75</c:v>
                </c:pt>
                <c:pt idx="2">
                  <c:v>31.5</c:v>
                </c:pt>
                <c:pt idx="3">
                  <c:v>16</c:v>
                </c:pt>
                <c:pt idx="4">
                  <c:v>60</c:v>
                </c:pt>
                <c:pt idx="5">
                  <c:v>89</c:v>
                </c:pt>
                <c:pt idx="6">
                  <c:v>21</c:v>
                </c:pt>
                <c:pt idx="7">
                  <c:v>36</c:v>
                </c:pt>
                <c:pt idx="8">
                  <c:v>56</c:v>
                </c:pt>
                <c:pt idx="9">
                  <c:v>14</c:v>
                </c:pt>
              </c:numCache>
            </c:numRef>
          </c:val>
          <c:extLst xmlns:c16r2="http://schemas.microsoft.com/office/drawing/2015/06/chart">
            <c:ext xmlns:c16="http://schemas.microsoft.com/office/drawing/2014/chart" uri="{C3380CC4-5D6E-409C-BE32-E72D297353CC}">
              <c16:uniqueId val="{00000001-C836-8646-B65E-5C09A2A4DB33}"/>
            </c:ext>
          </c:extLst>
        </c:ser>
        <c:dLbls>
          <c:showLegendKey val="0"/>
          <c:showVal val="1"/>
          <c:showCatName val="0"/>
          <c:showSerName val="0"/>
          <c:showPercent val="0"/>
          <c:showBubbleSize val="0"/>
        </c:dLbls>
        <c:gapWidth val="150"/>
        <c:axId val="172744064"/>
        <c:axId val="186356864"/>
      </c:barChart>
      <c:catAx>
        <c:axId val="172744064"/>
        <c:scaling>
          <c:orientation val="minMax"/>
        </c:scaling>
        <c:delete val="0"/>
        <c:axPos val="b"/>
        <c:numFmt formatCode="General" sourceLinked="0"/>
        <c:majorTickMark val="out"/>
        <c:minorTickMark val="none"/>
        <c:tickLblPos val="nextTo"/>
        <c:crossAx val="186356864"/>
        <c:crosses val="autoZero"/>
        <c:auto val="1"/>
        <c:lblAlgn val="ctr"/>
        <c:lblOffset val="100"/>
        <c:noMultiLvlLbl val="0"/>
      </c:catAx>
      <c:valAx>
        <c:axId val="186356864"/>
        <c:scaling>
          <c:orientation val="minMax"/>
        </c:scaling>
        <c:delete val="0"/>
        <c:axPos val="l"/>
        <c:majorGridlines/>
        <c:title>
          <c:tx>
            <c:rich>
              <a:bodyPr/>
              <a:lstStyle/>
              <a:p>
                <a:pPr>
                  <a:defRPr/>
                </a:pPr>
                <a:r>
                  <a:rPr lang="ru-RU"/>
                  <a:t>%</a:t>
                </a:r>
              </a:p>
            </c:rich>
          </c:tx>
          <c:layout>
            <c:manualLayout>
              <c:xMode val="edge"/>
              <c:yMode val="edge"/>
              <c:x val="1.6203703703703703E-2"/>
              <c:y val="3.5880514935633025E-2"/>
            </c:manualLayout>
          </c:layout>
          <c:overlay val="0"/>
        </c:title>
        <c:numFmt formatCode="General" sourceLinked="1"/>
        <c:majorTickMark val="out"/>
        <c:minorTickMark val="none"/>
        <c:tickLblPos val="nextTo"/>
        <c:crossAx val="172744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2023-03-13T12:52:00Z</dcterms:created>
  <dcterms:modified xsi:type="dcterms:W3CDTF">2023-10-06T10:10:00Z</dcterms:modified>
</cp:coreProperties>
</file>