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34" w:rsidRDefault="009A5934" w:rsidP="009A5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934">
        <w:rPr>
          <w:rFonts w:ascii="Times New Roman" w:hAnsi="Times New Roman" w:cs="Times New Roman"/>
          <w:sz w:val="28"/>
          <w:szCs w:val="28"/>
        </w:rPr>
        <w:t xml:space="preserve">Дидактическое пособие «Умные дорожки» </w:t>
      </w:r>
    </w:p>
    <w:p w:rsidR="00250A4F" w:rsidRDefault="009A5934" w:rsidP="009A5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934">
        <w:rPr>
          <w:rFonts w:ascii="Times New Roman" w:hAnsi="Times New Roman" w:cs="Times New Roman"/>
          <w:sz w:val="28"/>
          <w:szCs w:val="28"/>
        </w:rPr>
        <w:t>для развития межполушарных взаимосвязей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934" w:rsidRDefault="009A5934" w:rsidP="009A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Pr="00CD6F88" w:rsidRDefault="00CD6F88" w:rsidP="00F26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430" w:rsidRDefault="009A5934" w:rsidP="00B4766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sz w:val="31"/>
          <w:szCs w:val="31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Развитие межполушарного взаимодействия</w:t>
      </w:r>
      <w:r w:rsidR="001F0426">
        <w:rPr>
          <w:sz w:val="28"/>
          <w:szCs w:val="28"/>
        </w:rPr>
        <w:t xml:space="preserve">, это механизм объединения левого и правого полушария в единую  целостно - работающую систему. Левое полушарие </w:t>
      </w:r>
      <w:r w:rsidR="003C4430">
        <w:rPr>
          <w:sz w:val="28"/>
          <w:szCs w:val="28"/>
        </w:rPr>
        <w:t xml:space="preserve">нашего </w:t>
      </w:r>
      <w:r w:rsidR="001F0426">
        <w:rPr>
          <w:sz w:val="28"/>
          <w:szCs w:val="28"/>
        </w:rPr>
        <w:t xml:space="preserve">мозга отвечает за умение мыслить логически, правое полушарие отвечает за творческие процессы. Совершенно очевидно, что человеку необходимо развитее обоих полушарий. Развитие межполушарных взаимосвязей строится на </w:t>
      </w:r>
      <w:proofErr w:type="gramStart"/>
      <w:r w:rsidR="001F0426">
        <w:rPr>
          <w:sz w:val="28"/>
          <w:szCs w:val="28"/>
        </w:rPr>
        <w:t>упражнениях</w:t>
      </w:r>
      <w:proofErr w:type="gramEnd"/>
      <w:r w:rsidR="001F0426">
        <w:rPr>
          <w:sz w:val="28"/>
          <w:szCs w:val="28"/>
        </w:rPr>
        <w:t xml:space="preserve"> и играх, в ходе которых задействуются оба полушария мозга. </w:t>
      </w:r>
      <w:r w:rsidR="00B4766A">
        <w:rPr>
          <w:sz w:val="28"/>
          <w:szCs w:val="28"/>
        </w:rPr>
        <w:t>Развивать межполушарные связи головного мозга необходимо с раннего детства.</w:t>
      </w:r>
      <w:r w:rsidR="00B4766A" w:rsidRPr="00B4766A">
        <w:rPr>
          <w:rStyle w:val="a3"/>
          <w:rFonts w:ascii="Arial" w:hAnsi="Arial" w:cs="Arial"/>
          <w:color w:val="111111"/>
          <w:sz w:val="31"/>
          <w:szCs w:val="31"/>
          <w:bdr w:val="none" w:sz="0" w:space="0" w:color="auto" w:frame="1"/>
          <w:shd w:val="clear" w:color="auto" w:fill="FFFFFF"/>
        </w:rPr>
        <w:t xml:space="preserve"> </w:t>
      </w:r>
      <w:r w:rsidR="003C4430">
        <w:rPr>
          <w:rStyle w:val="a3"/>
          <w:rFonts w:ascii="Arial" w:hAnsi="Arial" w:cs="Arial"/>
          <w:color w:val="111111"/>
          <w:sz w:val="31"/>
          <w:szCs w:val="31"/>
          <w:bdr w:val="none" w:sz="0" w:space="0" w:color="auto" w:frame="1"/>
          <w:shd w:val="clear" w:color="auto" w:fill="FFFFFF"/>
        </w:rPr>
        <w:t xml:space="preserve">   </w:t>
      </w:r>
    </w:p>
    <w:p w:rsidR="00B4766A" w:rsidRDefault="00B4766A" w:rsidP="00B476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B4766A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B4766A">
        <w:rPr>
          <w:b/>
          <w:color w:val="111111"/>
          <w:sz w:val="28"/>
          <w:szCs w:val="28"/>
          <w:shd w:val="clear" w:color="auto" w:fill="FFFFFF"/>
        </w:rPr>
        <w:t> </w:t>
      </w:r>
      <w:r w:rsidRPr="00B4766A">
        <w:rPr>
          <w:color w:val="111111"/>
          <w:sz w:val="28"/>
          <w:szCs w:val="28"/>
          <w:shd w:val="clear" w:color="auto" w:fill="FFFFFF"/>
        </w:rPr>
        <w:t>интеллектуальных способностей детей дошкольного возраста - это непрерывный процесс. У новорожденных детей преобладает работа правого полушария мозга. После того, как активно начинает </w:t>
      </w:r>
      <w:r w:rsidRPr="00B4766A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развиваться</w:t>
      </w:r>
      <w:r w:rsidRPr="00B4766A">
        <w:rPr>
          <w:b/>
          <w:color w:val="111111"/>
          <w:sz w:val="28"/>
          <w:szCs w:val="28"/>
          <w:shd w:val="clear" w:color="auto" w:fill="FFFFFF"/>
        </w:rPr>
        <w:t> </w:t>
      </w:r>
      <w:r w:rsidRPr="00B4766A">
        <w:rPr>
          <w:color w:val="111111"/>
          <w:sz w:val="28"/>
          <w:szCs w:val="28"/>
          <w:shd w:val="clear" w:color="auto" w:fill="FFFFFF"/>
        </w:rPr>
        <w:t xml:space="preserve">речь и другие навыки, включается левое полушарие. Из-за сложившейся системы образования и общественного уклада у подавляющего большинства детей в итоге начинает доминировать левое полушарие, затмевая правое. </w:t>
      </w:r>
    </w:p>
    <w:p w:rsidR="00B4766A" w:rsidRDefault="00B4766A" w:rsidP="00B476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B4766A">
        <w:rPr>
          <w:color w:val="111111"/>
          <w:sz w:val="28"/>
          <w:szCs w:val="28"/>
        </w:rPr>
        <w:t>оэтому</w:t>
      </w:r>
      <w:r w:rsidR="003C4430">
        <w:rPr>
          <w:color w:val="111111"/>
          <w:sz w:val="28"/>
          <w:szCs w:val="28"/>
        </w:rPr>
        <w:t xml:space="preserve">, </w:t>
      </w:r>
      <w:r w:rsidRPr="00B4766A">
        <w:rPr>
          <w:color w:val="111111"/>
          <w:sz w:val="28"/>
          <w:szCs w:val="28"/>
        </w:rPr>
        <w:t xml:space="preserve"> первые 2- 4 года</w:t>
      </w:r>
      <w:r>
        <w:rPr>
          <w:color w:val="111111"/>
          <w:sz w:val="28"/>
          <w:szCs w:val="28"/>
        </w:rPr>
        <w:t xml:space="preserve"> в жизни детей </w:t>
      </w:r>
      <w:r w:rsidRPr="00B4766A">
        <w:rPr>
          <w:color w:val="111111"/>
          <w:sz w:val="28"/>
          <w:szCs w:val="28"/>
        </w:rPr>
        <w:t> </w:t>
      </w:r>
      <w:r w:rsidRPr="00B4766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играют</w:t>
      </w:r>
      <w:r w:rsidRPr="00B4766A">
        <w:rPr>
          <w:color w:val="111111"/>
          <w:sz w:val="28"/>
          <w:szCs w:val="28"/>
        </w:rPr>
        <w:t>  важную роль</w:t>
      </w:r>
      <w:r>
        <w:rPr>
          <w:color w:val="111111"/>
          <w:sz w:val="28"/>
          <w:szCs w:val="28"/>
        </w:rPr>
        <w:t xml:space="preserve"> в  о</w:t>
      </w:r>
      <w:r w:rsidRPr="00B4766A">
        <w:rPr>
          <w:color w:val="111111"/>
          <w:sz w:val="28"/>
          <w:szCs w:val="28"/>
        </w:rPr>
        <w:t>р</w:t>
      </w:r>
      <w:r>
        <w:rPr>
          <w:color w:val="111111"/>
          <w:sz w:val="28"/>
          <w:szCs w:val="28"/>
        </w:rPr>
        <w:t>га</w:t>
      </w:r>
      <w:r w:rsidRPr="00B4766A">
        <w:rPr>
          <w:color w:val="111111"/>
          <w:sz w:val="28"/>
          <w:szCs w:val="28"/>
        </w:rPr>
        <w:t xml:space="preserve">низации работы обоих полушарий головного мозга, что, по мнению ученых, приводит к увеличению эффективности работы мозга в </w:t>
      </w:r>
      <w:r>
        <w:rPr>
          <w:color w:val="111111"/>
          <w:sz w:val="28"/>
          <w:szCs w:val="28"/>
        </w:rPr>
        <w:t>несколько раз. Чем лучше будут развиты межполушарные связи головного мозга, тем выше ребенка будет развито:</w:t>
      </w:r>
    </w:p>
    <w:p w:rsidR="00B4766A" w:rsidRDefault="00B4766A" w:rsidP="00B476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интеллектуальное развитие;</w:t>
      </w:r>
    </w:p>
    <w:p w:rsidR="00B4766A" w:rsidRDefault="00B4766A" w:rsidP="00B476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память;</w:t>
      </w:r>
    </w:p>
    <w:p w:rsidR="00B4766A" w:rsidRDefault="00B4766A" w:rsidP="00B476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внимание;</w:t>
      </w:r>
    </w:p>
    <w:p w:rsidR="00B4766A" w:rsidRDefault="00B4766A" w:rsidP="00B476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речь;</w:t>
      </w:r>
    </w:p>
    <w:p w:rsidR="00B4766A" w:rsidRDefault="00B4766A" w:rsidP="00B476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воображение;</w:t>
      </w:r>
    </w:p>
    <w:p w:rsidR="003C4430" w:rsidRDefault="00B4766A" w:rsidP="003C443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мышление и восприят</w:t>
      </w:r>
      <w:r w:rsidR="003C4430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е.</w:t>
      </w:r>
    </w:p>
    <w:p w:rsidR="003C4430" w:rsidRPr="003C4430" w:rsidRDefault="003C4430" w:rsidP="003C443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B4766A" w:rsidRPr="003C4430">
        <w:rPr>
          <w:color w:val="111111"/>
          <w:sz w:val="28"/>
          <w:szCs w:val="28"/>
        </w:rPr>
        <w:t> </w:t>
      </w:r>
      <w:r w:rsidRPr="003C4430">
        <w:rPr>
          <w:sz w:val="28"/>
          <w:szCs w:val="28"/>
        </w:rPr>
        <w:t xml:space="preserve">Правильно подобранные игры и упражнения вызывают у детей не только интерес к выполнению задания, но и развивают умение применять упражнения на практике, </w:t>
      </w:r>
      <w:proofErr w:type="gramStart"/>
      <w:r w:rsidRPr="003C4430">
        <w:rPr>
          <w:sz w:val="28"/>
          <w:szCs w:val="28"/>
        </w:rPr>
        <w:t>в</w:t>
      </w:r>
      <w:proofErr w:type="gramEnd"/>
      <w:r w:rsidRPr="003C4430">
        <w:rPr>
          <w:sz w:val="28"/>
          <w:szCs w:val="28"/>
        </w:rPr>
        <w:t xml:space="preserve"> свободной деятельности для развития интеллектуальных способностей.</w:t>
      </w:r>
    </w:p>
    <w:p w:rsidR="00B4766A" w:rsidRPr="00B4766A" w:rsidRDefault="00B4766A" w:rsidP="00B476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766A">
        <w:rPr>
          <w:color w:val="111111"/>
          <w:sz w:val="28"/>
          <w:szCs w:val="28"/>
        </w:rPr>
        <w:t>Представляю</w:t>
      </w:r>
      <w:r w:rsidR="003C4430">
        <w:rPr>
          <w:color w:val="111111"/>
          <w:sz w:val="28"/>
          <w:szCs w:val="28"/>
        </w:rPr>
        <w:t xml:space="preserve"> вашему вниманию дидактическое</w:t>
      </w:r>
      <w:r w:rsidR="00202488">
        <w:rPr>
          <w:color w:val="111111"/>
          <w:sz w:val="28"/>
          <w:szCs w:val="28"/>
        </w:rPr>
        <w:t xml:space="preserve"> пособие </w:t>
      </w:r>
      <w:r w:rsidR="003C4430">
        <w:rPr>
          <w:color w:val="111111"/>
          <w:sz w:val="28"/>
          <w:szCs w:val="28"/>
        </w:rPr>
        <w:t xml:space="preserve"> </w:t>
      </w:r>
      <w:r w:rsidRPr="00B4766A">
        <w:rPr>
          <w:color w:val="111111"/>
          <w:sz w:val="28"/>
          <w:szCs w:val="28"/>
        </w:rPr>
        <w:t xml:space="preserve"> для </w:t>
      </w:r>
      <w:r w:rsidRPr="003C443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развития межполушарных связей</w:t>
      </w:r>
      <w:r w:rsidRPr="003C4430">
        <w:rPr>
          <w:b/>
          <w:color w:val="111111"/>
          <w:sz w:val="28"/>
          <w:szCs w:val="28"/>
        </w:rPr>
        <w:t xml:space="preserve"> </w:t>
      </w:r>
      <w:r w:rsidR="003C4430" w:rsidRPr="003C4430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3C4430" w:rsidRPr="003C4430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Умные дорожки</w:t>
      </w:r>
      <w:r w:rsidR="003C4430" w:rsidRPr="003C4430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3C4430">
        <w:rPr>
          <w:iCs/>
          <w:color w:val="111111"/>
          <w:sz w:val="28"/>
          <w:szCs w:val="28"/>
          <w:bdr w:val="none" w:sz="0" w:space="0" w:color="auto" w:frame="1"/>
        </w:rPr>
        <w:t>, предназначенное для детей дошкольного возраста от двух лет.</w:t>
      </w:r>
      <w:r w:rsidR="003C4430" w:rsidRPr="00B4766A">
        <w:rPr>
          <w:color w:val="111111"/>
          <w:sz w:val="28"/>
          <w:szCs w:val="28"/>
        </w:rPr>
        <w:t> </w:t>
      </w:r>
      <w:r w:rsidRPr="00B4766A">
        <w:rPr>
          <w:color w:val="111111"/>
          <w:sz w:val="28"/>
          <w:szCs w:val="28"/>
        </w:rPr>
        <w:t>Их выполнение позволит </w:t>
      </w:r>
      <w:r w:rsidRPr="003C443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B4766A">
        <w:rPr>
          <w:color w:val="111111"/>
          <w:sz w:val="28"/>
          <w:szCs w:val="28"/>
        </w:rPr>
        <w:t> координацию движений, синхронизировать работу глаз и рук, </w:t>
      </w:r>
      <w:r w:rsidRPr="003C443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развивать мелкую моторику</w:t>
      </w:r>
      <w:r w:rsidRPr="003C4430">
        <w:rPr>
          <w:b/>
          <w:color w:val="111111"/>
          <w:sz w:val="28"/>
          <w:szCs w:val="28"/>
        </w:rPr>
        <w:t>,</w:t>
      </w:r>
      <w:r w:rsidRPr="00B4766A">
        <w:rPr>
          <w:color w:val="111111"/>
          <w:sz w:val="28"/>
          <w:szCs w:val="28"/>
        </w:rPr>
        <w:t xml:space="preserve"> мышление, внимание, активно концентрировать внимание.</w:t>
      </w:r>
    </w:p>
    <w:p w:rsidR="00457803" w:rsidRDefault="00457803" w:rsidP="00202488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CD6F88" w:rsidRDefault="00CD6F88" w:rsidP="00202488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CD6F88" w:rsidRDefault="00CD6F88" w:rsidP="00202488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CD6F88" w:rsidRDefault="00CD6F88" w:rsidP="00202488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F26FCF" w:rsidRDefault="00F26FCF" w:rsidP="00202488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F26FCF" w:rsidRDefault="00F26FCF" w:rsidP="00202488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202488" w:rsidRDefault="00202488" w:rsidP="00202488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202488">
        <w:rPr>
          <w:rFonts w:ascii="Times New Roman" w:hAnsi="Times New Roman" w:cs="Times New Roman"/>
          <w:color w:val="111111"/>
          <w:sz w:val="28"/>
          <w:szCs w:val="28"/>
        </w:rPr>
        <w:lastRenderedPageBreak/>
        <w:t>Дидактическое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пособие </w:t>
      </w:r>
      <w:r w:rsidRPr="00202488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proofErr w:type="gramStart"/>
      <w:r w:rsidRPr="00202488">
        <w:rPr>
          <w:rFonts w:ascii="Times New Roman" w:hAnsi="Times New Roman" w:cs="Times New Roman"/>
          <w:color w:val="111111"/>
          <w:sz w:val="28"/>
          <w:szCs w:val="28"/>
        </w:rPr>
        <w:t>для</w:t>
      </w:r>
      <w:proofErr w:type="gramEnd"/>
      <w:r w:rsidRPr="00202488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202488" w:rsidRDefault="00202488" w:rsidP="00202488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0248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 межполушарных связей</w:t>
      </w:r>
      <w:r w:rsidRPr="0020248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9A5934" w:rsidRDefault="00202488" w:rsidP="00202488">
      <w:pPr>
        <w:spacing w:after="0" w:line="240" w:lineRule="auto"/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20248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202488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Умные дорожки</w:t>
      </w:r>
      <w:r w:rsidRPr="0020248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02488" w:rsidRDefault="00202488" w:rsidP="00202488">
      <w:pPr>
        <w:spacing w:after="0" w:line="240" w:lineRule="auto"/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(лексическая тема «Осень)</w:t>
      </w:r>
    </w:p>
    <w:p w:rsidR="000D23C1" w:rsidRDefault="000D23C1" w:rsidP="000D23C1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Данное дидактическое  пособие предназначено для проведения нейродинамической гимнастики, способствует развитию межполушарного взаимодействия у детей от 2 лет. Выполняя упражнение, ребенок задействует правую, левую или обе руки одновременно, что способствует развитию обоих полушарий мозга. В результате выполнения данных упражнений, обеспечивается условие для полноценного развития личности ребенка и его интеллекта. Систематическое использование </w:t>
      </w:r>
      <w:proofErr w:type="spellStart"/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нейроупражнений</w:t>
      </w:r>
      <w:proofErr w:type="spellEnd"/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оказывает положительное влияние на коррекцию обучения, развитие интеллекта, речи ребенка, улучшает физическое здоровье, снижает утомляемость, способствует произвольному контролю. </w:t>
      </w:r>
    </w:p>
    <w:p w:rsidR="00202488" w:rsidRDefault="00202488" w:rsidP="00202488">
      <w:pPr>
        <w:spacing w:after="0" w:line="240" w:lineRule="auto"/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202488" w:rsidRDefault="00202488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202488">
        <w:rPr>
          <w:rFonts w:ascii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Цель: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развитие межполушарного взаимодействия, координации движений, синхронизации работы глаз и рук; развитие мелкой моторики, тактильной чувствительности; активной концентрации внимания.</w:t>
      </w:r>
    </w:p>
    <w:p w:rsidR="00202488" w:rsidRDefault="00202488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202488" w:rsidRDefault="00202488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202488">
        <w:rPr>
          <w:rFonts w:ascii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Задачи: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- совершенствовать предметно – игровую деятельность;</w:t>
      </w:r>
    </w:p>
    <w:p w:rsidR="00202488" w:rsidRDefault="00202488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          - развивать познавательные процессы;</w:t>
      </w:r>
    </w:p>
    <w:p w:rsidR="00202488" w:rsidRDefault="00202488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          - создавать ситуацию успеха, атмосферу доброжелательности,   </w:t>
      </w:r>
    </w:p>
    <w:p w:rsidR="00202488" w:rsidRDefault="00202488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            эмоционального развития.</w:t>
      </w:r>
    </w:p>
    <w:p w:rsidR="00CD6F88" w:rsidRDefault="00CD6F88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0D23C1" w:rsidRDefault="000D23C1" w:rsidP="002024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CD6F88" w:rsidRDefault="00CD6F88" w:rsidP="00CD6F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3C1" w:rsidRDefault="000D23C1" w:rsidP="00CD6F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3C1" w:rsidRDefault="000D23C1" w:rsidP="00CD6F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6F88" w:rsidRDefault="00CD6F88" w:rsidP="00CD6F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CD6F88" w:rsidRDefault="000D23C1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3198495</wp:posOffset>
            </wp:positionH>
            <wp:positionV relativeFrom="margin">
              <wp:posOffset>301625</wp:posOffset>
            </wp:positionV>
            <wp:extent cx="2842260" cy="2108200"/>
            <wp:effectExtent l="19050" t="0" r="0" b="0"/>
            <wp:wrapSquare wrapText="bothSides"/>
            <wp:docPr id="2" name="Рисунок 1" descr="нейродорож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йродорожка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F88" w:rsidRDefault="000D23C1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-354330</wp:posOffset>
            </wp:positionV>
            <wp:extent cx="2745105" cy="2000885"/>
            <wp:effectExtent l="19050" t="0" r="0" b="0"/>
            <wp:wrapSquare wrapText="bothSides"/>
            <wp:docPr id="1" name="Рисунок 0" descr="нейродор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йродорож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F88" w:rsidRPr="00CD6F88">
        <w:rPr>
          <w:rFonts w:ascii="Times New Roman" w:hAnsi="Times New Roman" w:cs="Times New Roman"/>
          <w:sz w:val="28"/>
          <w:szCs w:val="28"/>
        </w:rPr>
        <w:t>«Собери грибочки в корзинк</w:t>
      </w:r>
      <w:r w:rsidR="00CD6F88">
        <w:rPr>
          <w:rFonts w:ascii="Times New Roman" w:hAnsi="Times New Roman" w:cs="Times New Roman"/>
          <w:sz w:val="28"/>
          <w:szCs w:val="28"/>
        </w:rPr>
        <w:t>у</w:t>
      </w:r>
      <w:r w:rsidR="00CD6F88" w:rsidRPr="00CD6F88">
        <w:rPr>
          <w:rFonts w:ascii="Times New Roman" w:hAnsi="Times New Roman" w:cs="Times New Roman"/>
          <w:sz w:val="28"/>
          <w:szCs w:val="28"/>
        </w:rPr>
        <w:t>»</w:t>
      </w: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Default="000D23C1" w:rsidP="00CD6F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-835025</wp:posOffset>
            </wp:positionH>
            <wp:positionV relativeFrom="margin">
              <wp:posOffset>2722245</wp:posOffset>
            </wp:positionV>
            <wp:extent cx="2745105" cy="1957705"/>
            <wp:effectExtent l="19050" t="0" r="0" b="0"/>
            <wp:wrapSquare wrapText="bothSides"/>
            <wp:docPr id="3" name="Рисунок 2" descr="нейродорож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йродорожка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F88">
        <w:rPr>
          <w:rFonts w:ascii="Times New Roman" w:hAnsi="Times New Roman" w:cs="Times New Roman"/>
          <w:sz w:val="28"/>
          <w:szCs w:val="28"/>
        </w:rPr>
        <w:t xml:space="preserve">                    «Помоги ёжику и белочке принести </w:t>
      </w:r>
    </w:p>
    <w:p w:rsidR="00CD6F88" w:rsidRDefault="00CD6F88" w:rsidP="00CD6F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 в дупло дерева»</w:t>
      </w: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«Положи яблоки и груши в банку»</w:t>
      </w: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C1" w:rsidRDefault="000D23C1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2542540</wp:posOffset>
            </wp:positionH>
            <wp:positionV relativeFrom="margin">
              <wp:posOffset>3528695</wp:posOffset>
            </wp:positionV>
            <wp:extent cx="2917190" cy="2108200"/>
            <wp:effectExtent l="19050" t="0" r="0" b="0"/>
            <wp:wrapSquare wrapText="bothSides"/>
            <wp:docPr id="5" name="Рисунок 4" descr="нейродорож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йродорожка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3C1" w:rsidRDefault="000D23C1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C1" w:rsidRDefault="000D23C1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C1" w:rsidRDefault="000D23C1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C1" w:rsidRDefault="000D23C1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C1" w:rsidRDefault="000D23C1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C1" w:rsidRDefault="000D23C1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C1" w:rsidRDefault="000D23C1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C1" w:rsidRDefault="000D23C1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5346700</wp:posOffset>
            </wp:positionV>
            <wp:extent cx="2938780" cy="2097405"/>
            <wp:effectExtent l="19050" t="0" r="0" b="0"/>
            <wp:wrapSquare wrapText="bothSides"/>
            <wp:docPr id="6" name="Рисунок 5" descr="нейродорож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йродорожка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3C1" w:rsidRDefault="000D23C1" w:rsidP="000D2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3C1" w:rsidRDefault="000D23C1" w:rsidP="000D2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3C1" w:rsidRDefault="000D23C1" w:rsidP="000D2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мальчику и девочке взять зонтик»</w:t>
      </w: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C1" w:rsidRDefault="000D23C1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C1" w:rsidRDefault="000D23C1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C1" w:rsidRDefault="000D23C1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листочки в осенний букет»</w:t>
      </w: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88" w:rsidRPr="00CD6F88" w:rsidRDefault="00CD6F88" w:rsidP="00CD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6F88" w:rsidRPr="00CD6F88" w:rsidSect="009A59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C0D"/>
    <w:multiLevelType w:val="hybridMultilevel"/>
    <w:tmpl w:val="B994D8C0"/>
    <w:lvl w:ilvl="0" w:tplc="E6828F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A5934"/>
    <w:rsid w:val="0004616B"/>
    <w:rsid w:val="000C7339"/>
    <w:rsid w:val="000D23C1"/>
    <w:rsid w:val="001F0426"/>
    <w:rsid w:val="00202488"/>
    <w:rsid w:val="003A60F9"/>
    <w:rsid w:val="003C4430"/>
    <w:rsid w:val="00457803"/>
    <w:rsid w:val="006E2011"/>
    <w:rsid w:val="009A5934"/>
    <w:rsid w:val="009E2562"/>
    <w:rsid w:val="00B4766A"/>
    <w:rsid w:val="00CD6F88"/>
    <w:rsid w:val="00DB130D"/>
    <w:rsid w:val="00E13790"/>
    <w:rsid w:val="00F2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766A"/>
    <w:rPr>
      <w:b/>
      <w:bCs/>
    </w:rPr>
  </w:style>
  <w:style w:type="paragraph" w:styleId="a4">
    <w:name w:val="Normal (Web)"/>
    <w:basedOn w:val="a"/>
    <w:uiPriority w:val="99"/>
    <w:semiHidden/>
    <w:unhideWhenUsed/>
    <w:rsid w:val="00B4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76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2023-10-21T05:28:00Z</dcterms:created>
  <dcterms:modified xsi:type="dcterms:W3CDTF">2023-10-21T08:21:00Z</dcterms:modified>
</cp:coreProperties>
</file>