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EE" w:rsidRPr="008716B1" w:rsidRDefault="00252A78" w:rsidP="0025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B1">
        <w:rPr>
          <w:rFonts w:ascii="Times New Roman" w:hAnsi="Times New Roman" w:cs="Times New Roman"/>
          <w:b/>
          <w:sz w:val="24"/>
          <w:szCs w:val="24"/>
        </w:rPr>
        <w:t>Современные подходы с использованием альтернативной коммуникации в работе с детьми с ОВЗ.</w:t>
      </w:r>
    </w:p>
    <w:p w:rsidR="00252A78" w:rsidRPr="00300FD9" w:rsidRDefault="00F76DCF" w:rsidP="00252A78">
      <w:pPr>
        <w:jc w:val="left"/>
        <w:rPr>
          <w:rFonts w:ascii="Times New Roman" w:hAnsi="Times New Roman" w:cs="Times New Roman"/>
          <w:sz w:val="24"/>
          <w:szCs w:val="24"/>
        </w:rPr>
      </w:pPr>
      <w:r w:rsidRPr="00300FD9">
        <w:rPr>
          <w:rFonts w:ascii="Times New Roman" w:hAnsi="Times New Roman" w:cs="Times New Roman"/>
          <w:sz w:val="24"/>
          <w:szCs w:val="24"/>
        </w:rPr>
        <w:t xml:space="preserve">Дети с ОВЗ испытывают трудности в общении и поведении. Среди всех категорий нарушений развития у детей с тяжелыми множественными нарушениями (ТМНР) отмечается снижение коммуникативной способности и социального взаимодействия. Это дети со сложной структурой дефекта, речь у которых  отсутствует или нарушена настолько, что понимание ее окружающими затруднено. </w:t>
      </w:r>
    </w:p>
    <w:p w:rsidR="00F76DCF" w:rsidRPr="00300FD9" w:rsidRDefault="00F76DCF" w:rsidP="00252A78">
      <w:pPr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00FD9">
        <w:rPr>
          <w:rFonts w:ascii="Times New Roman" w:hAnsi="Times New Roman" w:cs="Times New Roman"/>
          <w:sz w:val="24"/>
          <w:szCs w:val="24"/>
        </w:rPr>
        <w:t>Данная категория детей нуждается в альте</w:t>
      </w:r>
      <w:r w:rsidR="00491325" w:rsidRPr="00300FD9">
        <w:rPr>
          <w:rFonts w:ascii="Times New Roman" w:hAnsi="Times New Roman" w:cs="Times New Roman"/>
          <w:sz w:val="24"/>
          <w:szCs w:val="24"/>
        </w:rPr>
        <w:t>рнативных способах коммуникации, поэтому  при работе с детьми с ТМНР  используются наборы  предметных карточек. Эти карточки  с изображениями простых действий</w:t>
      </w:r>
      <w:r w:rsidR="008242EB" w:rsidRPr="00300FD9">
        <w:rPr>
          <w:rFonts w:ascii="Times New Roman" w:hAnsi="Times New Roman" w:cs="Times New Roman"/>
          <w:sz w:val="24"/>
          <w:szCs w:val="24"/>
        </w:rPr>
        <w:t>, пиктограммы, визуальное расписание, коммуникативные альбомы  (рис. 1</w:t>
      </w:r>
      <w:r w:rsidR="00300FD9" w:rsidRPr="00300FD9">
        <w:rPr>
          <w:rFonts w:ascii="Times New Roman" w:hAnsi="Times New Roman" w:cs="Times New Roman"/>
          <w:sz w:val="24"/>
          <w:szCs w:val="24"/>
        </w:rPr>
        <w:t>, рис 2</w:t>
      </w:r>
      <w:r w:rsidR="008242EB" w:rsidRPr="00300FD9">
        <w:rPr>
          <w:rFonts w:ascii="Times New Roman" w:hAnsi="Times New Roman" w:cs="Times New Roman"/>
          <w:sz w:val="24"/>
          <w:szCs w:val="24"/>
        </w:rPr>
        <w:t>).</w:t>
      </w:r>
      <w:r w:rsidR="008242EB" w:rsidRPr="00300F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7280F" w:rsidRPr="00300FD9" w:rsidRDefault="0037280F" w:rsidP="00252A78">
      <w:pPr>
        <w:jc w:val="left"/>
        <w:rPr>
          <w:rFonts w:ascii="Times New Roman" w:hAnsi="Times New Roman" w:cs="Times New Roman"/>
          <w:sz w:val="24"/>
          <w:szCs w:val="24"/>
        </w:rPr>
      </w:pPr>
      <w:r w:rsidRPr="00300F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Одно из средст развития  социального взаимодействия в пространстве - карточки </w:t>
      </w:r>
      <w:r w:rsidRPr="00300FD9">
        <w:rPr>
          <w:rStyle w:val="a5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PECS. </w:t>
      </w:r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Это программа, которая позволяет быстро приобрести базисные функциональные навыки коммуникации.  С помощью РЕС</w:t>
      </w:r>
      <w:proofErr w:type="gramStart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S</w:t>
      </w:r>
      <w:proofErr w:type="gramEnd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можно быстрее обучить ребенка проявлять инициативу и спонтанно произносить слова, чем с помощью обучения наименований предметов, вокальной имитации, или усиления взгляда.</w:t>
      </w:r>
    </w:p>
    <w:p w:rsidR="008242EB" w:rsidRPr="00300FD9" w:rsidRDefault="0037280F" w:rsidP="0037280F">
      <w:pPr>
        <w:rPr>
          <w:rFonts w:ascii="Times New Roman" w:hAnsi="Times New Roman" w:cs="Times New Roman"/>
          <w:sz w:val="24"/>
          <w:szCs w:val="24"/>
        </w:rPr>
      </w:pPr>
      <w:r w:rsidRPr="00300FD9">
        <w:rPr>
          <w:rFonts w:ascii="Times New Roman" w:hAnsi="Times New Roman" w:cs="Times New Roman"/>
          <w:sz w:val="24"/>
          <w:szCs w:val="24"/>
        </w:rPr>
        <w:t>Данная система была разработана в 1985 году и до сих пор  считается одним из эффективнейших средств альтернативной коммуникации благодаря своей простоте и доступности. Карточки легко можно изготовить  самостоятельно, расширить их набор по мере необходимости.</w:t>
      </w:r>
    </w:p>
    <w:p w:rsidR="00555DAB" w:rsidRPr="00300FD9" w:rsidRDefault="00555DAB" w:rsidP="0037280F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300FD9">
        <w:rPr>
          <w:rFonts w:ascii="Times New Roman" w:hAnsi="Times New Roman" w:cs="Times New Roman"/>
          <w:sz w:val="24"/>
          <w:szCs w:val="24"/>
        </w:rPr>
        <w:t xml:space="preserve">Первый этап обучения пользованию </w:t>
      </w:r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РЕС</w:t>
      </w:r>
      <w:proofErr w:type="gramStart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S</w:t>
      </w:r>
      <w:proofErr w:type="gramEnd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обычно </w:t>
      </w:r>
      <w:proofErr w:type="spellStart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авзывает</w:t>
      </w:r>
      <w:proofErr w:type="spellEnd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затруднение. Непривыкшему к </w:t>
      </w:r>
      <w:proofErr w:type="gramStart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проявлении</w:t>
      </w:r>
      <w:proofErr w:type="gramEnd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инициативы в общении ребенку потребуется определенное время, чтобы понять новые, ставшие доступными ему возможности.</w:t>
      </w:r>
    </w:p>
    <w:p w:rsidR="00AD7820" w:rsidRPr="00300FD9" w:rsidRDefault="003F7561" w:rsidP="0037280F">
      <w:pPr>
        <w:rPr>
          <w:rFonts w:ascii="Times New Roman" w:hAnsi="Times New Roman" w:cs="Times New Roman"/>
          <w:sz w:val="24"/>
          <w:szCs w:val="24"/>
        </w:rPr>
      </w:pPr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Карточками можно обозначать не только предметы, но и различного рода действия, пожелания, например: «</w:t>
      </w:r>
      <w:proofErr w:type="gramStart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я</w:t>
      </w:r>
      <w:proofErr w:type="gramEnd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хочу», «идти», «дай», «одеваться» и т.д. В домашних условиях ребенок может использовать изготовленную для него книгу РЕС</w:t>
      </w:r>
      <w:proofErr w:type="gramStart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S</w:t>
      </w:r>
      <w:proofErr w:type="gramEnd"/>
      <w:r w:rsidR="00AD7820"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, а для прогулок – не вербальную версию в виде маленьких карточек, нанизанных на большое кольцо или брелок. </w:t>
      </w:r>
    </w:p>
    <w:p w:rsidR="00555DAB" w:rsidRPr="00300FD9" w:rsidRDefault="00AD7820" w:rsidP="00AD7820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300FD9">
        <w:rPr>
          <w:rFonts w:ascii="Times New Roman" w:hAnsi="Times New Roman" w:cs="Times New Roman"/>
          <w:sz w:val="24"/>
          <w:szCs w:val="24"/>
        </w:rPr>
        <w:t xml:space="preserve">Многие родители и педагоги боятся, что дети, освоив навыки коммуникации при помощи </w:t>
      </w:r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РЕС</w:t>
      </w:r>
      <w:proofErr w:type="gramStart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S</w:t>
      </w:r>
      <w:proofErr w:type="gramEnd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, так и не захотят разговаривать. Однако </w:t>
      </w:r>
      <w:proofErr w:type="gramStart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опасения напрасны</w:t>
      </w:r>
      <w:proofErr w:type="gramEnd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. В </w:t>
      </w:r>
      <w:proofErr w:type="spellStart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большенстве</w:t>
      </w:r>
      <w:proofErr w:type="spellEnd"/>
      <w:r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случаев эта методика, наоборот, лишь подстегивает развитие разговорной речи. Если ребенок останется невербальным то у него, по крайней мере, появится возможность самовыражения, коммуникации с окружающим миром.</w:t>
      </w:r>
    </w:p>
    <w:p w:rsidR="006E525C" w:rsidRPr="00300FD9" w:rsidRDefault="00AD7820" w:rsidP="00AD7820">
      <w:pPr>
        <w:rPr>
          <w:rFonts w:ascii="Times New Roman" w:hAnsi="Times New Roman" w:cs="Times New Roman"/>
          <w:sz w:val="24"/>
          <w:szCs w:val="24"/>
        </w:rPr>
      </w:pPr>
      <w:r w:rsidRPr="00300FD9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Коммуникативные вспомогательные устройства помогают людям выражать себя. </w:t>
      </w:r>
      <w:r w:rsidR="006E525C" w:rsidRPr="00300FD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Применение средств альтернативной коммуникации предоставит такому ребенку способ для социальной коммуникации с другими людьми.</w:t>
      </w:r>
    </w:p>
    <w:p w:rsidR="00300FD9" w:rsidRDefault="00300FD9" w:rsidP="006E525C">
      <w:pPr>
        <w:tabs>
          <w:tab w:val="left" w:pos="17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84455</wp:posOffset>
            </wp:positionV>
            <wp:extent cx="1995805" cy="1325880"/>
            <wp:effectExtent l="19050" t="0" r="4445" b="0"/>
            <wp:wrapTight wrapText="bothSides">
              <wp:wrapPolygon edited="0">
                <wp:start x="-206" y="0"/>
                <wp:lineTo x="-206" y="21414"/>
                <wp:lineTo x="21648" y="21414"/>
                <wp:lineTo x="21648" y="0"/>
                <wp:lineTo x="-206" y="0"/>
              </wp:wrapPolygon>
            </wp:wrapTight>
            <wp:docPr id="7" name="Рисунок 7" descr="https://i.ebayimg.com/00/s/MTA2NFgxNjAw/z/d5gAAOSwxCxT7mRU/$_1.JPG?set_id=88000050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ebayimg.com/00/s/MTA2NFgxNjAw/z/d5gAAOSwxCxT7mRU/$_1.JPG?set_id=880000500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43180</wp:posOffset>
            </wp:positionV>
            <wp:extent cx="1433830" cy="1317625"/>
            <wp:effectExtent l="19050" t="0" r="0" b="0"/>
            <wp:wrapTight wrapText="bothSides">
              <wp:wrapPolygon edited="0">
                <wp:start x="-287" y="0"/>
                <wp:lineTo x="-287" y="21236"/>
                <wp:lineTo x="21523" y="21236"/>
                <wp:lineTo x="21523" y="0"/>
                <wp:lineTo x="-287" y="0"/>
              </wp:wrapPolygon>
            </wp:wrapTight>
            <wp:docPr id="2" name="Рисунок 1" descr="https://cs2.livemaster.ru/storage/e2/2a/1cf609f486bd7e5c984f7c80ffsn--kukly-i-igrushki-nabor-kartochek-alternativnoj-kommunikatsi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2.livemaster.ru/storage/e2/2a/1cf609f486bd7e5c984f7c80ffsn--kukly-i-igrushki-nabor-kartochek-alternativnoj-kommunikatsii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25C">
        <w:rPr>
          <w:rFonts w:ascii="Times New Roman" w:hAnsi="Times New Roman" w:cs="Times New Roman"/>
        </w:rPr>
        <w:tab/>
      </w:r>
    </w:p>
    <w:p w:rsidR="00300FD9" w:rsidRDefault="00300FD9" w:rsidP="006E525C">
      <w:pPr>
        <w:tabs>
          <w:tab w:val="left" w:pos="1736"/>
        </w:tabs>
        <w:rPr>
          <w:rFonts w:ascii="Times New Roman" w:hAnsi="Times New Roman" w:cs="Times New Roman"/>
        </w:rPr>
      </w:pPr>
    </w:p>
    <w:p w:rsidR="00300FD9" w:rsidRDefault="00300FD9" w:rsidP="006E525C">
      <w:pPr>
        <w:tabs>
          <w:tab w:val="left" w:pos="1736"/>
        </w:tabs>
        <w:rPr>
          <w:rFonts w:ascii="Times New Roman" w:hAnsi="Times New Roman" w:cs="Times New Roman"/>
        </w:rPr>
      </w:pPr>
    </w:p>
    <w:p w:rsidR="00300FD9" w:rsidRDefault="00300FD9" w:rsidP="006E525C">
      <w:pPr>
        <w:tabs>
          <w:tab w:val="left" w:pos="1736"/>
        </w:tabs>
        <w:rPr>
          <w:rFonts w:ascii="Times New Roman" w:hAnsi="Times New Roman" w:cs="Times New Roman"/>
        </w:rPr>
      </w:pPr>
    </w:p>
    <w:p w:rsidR="00300FD9" w:rsidRDefault="00300FD9" w:rsidP="006E525C">
      <w:pPr>
        <w:tabs>
          <w:tab w:val="left" w:pos="1736"/>
        </w:tabs>
        <w:rPr>
          <w:rFonts w:ascii="Times New Roman" w:hAnsi="Times New Roman" w:cs="Times New Roman"/>
        </w:rPr>
      </w:pPr>
    </w:p>
    <w:p w:rsidR="00300FD9" w:rsidRDefault="00300FD9" w:rsidP="006E525C">
      <w:pPr>
        <w:tabs>
          <w:tab w:val="left" w:pos="1736"/>
        </w:tabs>
        <w:rPr>
          <w:rFonts w:ascii="Times New Roman" w:hAnsi="Times New Roman" w:cs="Times New Roman"/>
        </w:rPr>
      </w:pPr>
    </w:p>
    <w:p w:rsidR="00300FD9" w:rsidRDefault="00300FD9" w:rsidP="00300FD9">
      <w:pPr>
        <w:tabs>
          <w:tab w:val="left" w:pos="6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 1</w:t>
      </w:r>
      <w:r>
        <w:rPr>
          <w:rFonts w:ascii="Times New Roman" w:hAnsi="Times New Roman" w:cs="Times New Roman"/>
        </w:rPr>
        <w:tab/>
        <w:t>рис 2</w:t>
      </w:r>
    </w:p>
    <w:p w:rsidR="00300FD9" w:rsidRDefault="00300FD9" w:rsidP="006E525C">
      <w:pPr>
        <w:tabs>
          <w:tab w:val="left" w:pos="1736"/>
        </w:tabs>
        <w:rPr>
          <w:rFonts w:ascii="Times New Roman" w:hAnsi="Times New Roman" w:cs="Times New Roman"/>
        </w:rPr>
      </w:pPr>
    </w:p>
    <w:p w:rsidR="00300FD9" w:rsidRDefault="00300FD9" w:rsidP="006E525C">
      <w:pPr>
        <w:tabs>
          <w:tab w:val="left" w:pos="1736"/>
        </w:tabs>
        <w:rPr>
          <w:rFonts w:ascii="Times New Roman" w:hAnsi="Times New Roman" w:cs="Times New Roman"/>
        </w:rPr>
      </w:pPr>
    </w:p>
    <w:p w:rsidR="00300FD9" w:rsidRDefault="00300FD9" w:rsidP="006E525C">
      <w:pPr>
        <w:tabs>
          <w:tab w:val="left" w:pos="1736"/>
        </w:tabs>
        <w:rPr>
          <w:rFonts w:ascii="Times New Roman" w:hAnsi="Times New Roman" w:cs="Times New Roman"/>
        </w:rPr>
      </w:pPr>
    </w:p>
    <w:p w:rsidR="00AD7820" w:rsidRPr="00300FD9" w:rsidRDefault="006E525C" w:rsidP="006E525C">
      <w:pPr>
        <w:tabs>
          <w:tab w:val="left" w:pos="1736"/>
        </w:tabs>
        <w:rPr>
          <w:rFonts w:ascii="Times New Roman" w:hAnsi="Times New Roman" w:cs="Times New Roman"/>
          <w:sz w:val="24"/>
          <w:szCs w:val="24"/>
        </w:rPr>
      </w:pPr>
      <w:r w:rsidRPr="00300FD9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954FA3" w:rsidRPr="00300FD9" w:rsidRDefault="00300FD9" w:rsidP="006E525C">
      <w:pPr>
        <w:tabs>
          <w:tab w:val="left" w:pos="1736"/>
        </w:tabs>
        <w:rPr>
          <w:rFonts w:ascii="Times New Roman" w:hAnsi="Times New Roman" w:cs="Times New Roman"/>
          <w:sz w:val="24"/>
          <w:szCs w:val="24"/>
        </w:rPr>
      </w:pPr>
      <w:r w:rsidRPr="00300FD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954FA3" w:rsidRPr="00300FD9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="00954FA3" w:rsidRPr="00300FD9">
        <w:rPr>
          <w:rFonts w:ascii="Times New Roman" w:hAnsi="Times New Roman" w:cs="Times New Roman"/>
          <w:sz w:val="24"/>
          <w:szCs w:val="24"/>
        </w:rPr>
        <w:t xml:space="preserve"> Л.Б., Логинова Е.Т. «</w:t>
      </w:r>
      <w:r w:rsidRPr="00300FD9">
        <w:rPr>
          <w:rFonts w:ascii="Times New Roman" w:hAnsi="Times New Roman" w:cs="Times New Roman"/>
          <w:sz w:val="24"/>
          <w:szCs w:val="24"/>
        </w:rPr>
        <w:t>Я -</w:t>
      </w:r>
      <w:r w:rsidR="00954FA3" w:rsidRPr="00300FD9">
        <w:rPr>
          <w:rFonts w:ascii="Times New Roman" w:hAnsi="Times New Roman" w:cs="Times New Roman"/>
          <w:sz w:val="24"/>
          <w:szCs w:val="24"/>
        </w:rPr>
        <w:t xml:space="preserve"> говорю! Я ребенок. Упражнения с пиктограммами: рабочая тетрадь для занятия с детьми» М.,2007</w:t>
      </w:r>
    </w:p>
    <w:p w:rsidR="00300FD9" w:rsidRPr="00300FD9" w:rsidRDefault="00300FD9" w:rsidP="00300FD9">
      <w:pPr>
        <w:rPr>
          <w:rFonts w:ascii="Times New Roman" w:hAnsi="Times New Roman" w:cs="Times New Roman"/>
          <w:sz w:val="24"/>
          <w:szCs w:val="24"/>
        </w:rPr>
      </w:pPr>
      <w:r w:rsidRPr="00300FD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954FA3" w:rsidRPr="00300FD9">
        <w:rPr>
          <w:rFonts w:ascii="Times New Roman" w:hAnsi="Times New Roman" w:cs="Times New Roman"/>
          <w:sz w:val="24"/>
          <w:szCs w:val="24"/>
        </w:rPr>
        <w:t>ЛедвохинаГ.В</w:t>
      </w:r>
      <w:proofErr w:type="spellEnd"/>
      <w:r w:rsidR="00954FA3" w:rsidRPr="00300FD9">
        <w:rPr>
          <w:rFonts w:ascii="Times New Roman" w:hAnsi="Times New Roman" w:cs="Times New Roman"/>
          <w:sz w:val="24"/>
          <w:szCs w:val="24"/>
        </w:rPr>
        <w:t xml:space="preserve">. Кириллова Е.В. «Учимся говорить, 55 способов  общения с </w:t>
      </w:r>
      <w:proofErr w:type="spellStart"/>
      <w:r w:rsidR="00954FA3" w:rsidRPr="00300FD9">
        <w:rPr>
          <w:rFonts w:ascii="Times New Roman" w:hAnsi="Times New Roman" w:cs="Times New Roman"/>
          <w:sz w:val="24"/>
          <w:szCs w:val="24"/>
        </w:rPr>
        <w:t>неговорящим</w:t>
      </w:r>
      <w:proofErr w:type="spellEnd"/>
      <w:r w:rsidR="00954FA3" w:rsidRPr="00300FD9">
        <w:rPr>
          <w:rFonts w:ascii="Times New Roman" w:hAnsi="Times New Roman" w:cs="Times New Roman"/>
          <w:sz w:val="24"/>
          <w:szCs w:val="24"/>
        </w:rPr>
        <w:t xml:space="preserve"> ребенком», М.,1997.</w:t>
      </w:r>
    </w:p>
    <w:p w:rsidR="00954FA3" w:rsidRPr="00300FD9" w:rsidRDefault="00300FD9" w:rsidP="00300FD9">
      <w:pPr>
        <w:rPr>
          <w:rFonts w:ascii="Times New Roman" w:hAnsi="Times New Roman" w:cs="Times New Roman"/>
          <w:sz w:val="24"/>
          <w:szCs w:val="24"/>
        </w:rPr>
      </w:pPr>
      <w:r w:rsidRPr="00300FD9"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 w:rsidR="00954FA3" w:rsidRPr="00300FD9">
        <w:rPr>
          <w:rFonts w:ascii="Times New Roman" w:hAnsi="Times New Roman" w:cs="Times New Roman"/>
          <w:i/>
          <w:iCs/>
          <w:sz w:val="24"/>
          <w:szCs w:val="24"/>
        </w:rPr>
        <w:t xml:space="preserve">Хаустов, А.В. </w:t>
      </w:r>
      <w:r w:rsidR="00954FA3" w:rsidRPr="00300FD9">
        <w:rPr>
          <w:rFonts w:ascii="Times New Roman" w:hAnsi="Times New Roman" w:cs="Times New Roman"/>
          <w:sz w:val="24"/>
          <w:szCs w:val="24"/>
        </w:rPr>
        <w:t xml:space="preserve">Формирование навыков речевой коммуникации у детей с расстройствами аутистического спектра. – М.: </w:t>
      </w:r>
      <w:proofErr w:type="spellStart"/>
      <w:r w:rsidR="00954FA3" w:rsidRPr="00300FD9">
        <w:rPr>
          <w:rFonts w:ascii="Times New Roman" w:hAnsi="Times New Roman" w:cs="Times New Roman"/>
          <w:sz w:val="24"/>
          <w:szCs w:val="24"/>
        </w:rPr>
        <w:t>ЦПМССДиП</w:t>
      </w:r>
      <w:proofErr w:type="spellEnd"/>
      <w:r w:rsidR="00954FA3" w:rsidRPr="00300FD9">
        <w:rPr>
          <w:rFonts w:ascii="Times New Roman" w:hAnsi="Times New Roman" w:cs="Times New Roman"/>
          <w:sz w:val="24"/>
          <w:szCs w:val="24"/>
        </w:rPr>
        <w:t>, 2010</w:t>
      </w:r>
    </w:p>
    <w:p w:rsidR="00954FA3" w:rsidRPr="00300FD9" w:rsidRDefault="00954FA3" w:rsidP="00954FA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00FD9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="00300FD9" w:rsidRPr="00300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0FD9" w:rsidRPr="00300FD9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proofErr w:type="spellStart"/>
      <w:r w:rsidRPr="00300FD9">
        <w:rPr>
          <w:rFonts w:ascii="Times New Roman" w:hAnsi="Times New Roman" w:cs="Times New Roman"/>
          <w:i/>
          <w:iCs/>
          <w:sz w:val="24"/>
          <w:szCs w:val="24"/>
        </w:rPr>
        <w:t>Худенко</w:t>
      </w:r>
      <w:proofErr w:type="spellEnd"/>
      <w:r w:rsidRPr="00300FD9">
        <w:rPr>
          <w:rFonts w:ascii="Times New Roman" w:hAnsi="Times New Roman" w:cs="Times New Roman"/>
          <w:i/>
          <w:iCs/>
          <w:sz w:val="24"/>
          <w:szCs w:val="24"/>
        </w:rPr>
        <w:t xml:space="preserve">, Е.Д., </w:t>
      </w:r>
      <w:proofErr w:type="spellStart"/>
      <w:r w:rsidRPr="00300FD9">
        <w:rPr>
          <w:rFonts w:ascii="Times New Roman" w:hAnsi="Times New Roman" w:cs="Times New Roman"/>
          <w:i/>
          <w:iCs/>
          <w:sz w:val="24"/>
          <w:szCs w:val="24"/>
        </w:rPr>
        <w:t>Дедюхина</w:t>
      </w:r>
      <w:proofErr w:type="spellEnd"/>
      <w:r w:rsidRPr="00300FD9">
        <w:rPr>
          <w:rFonts w:ascii="Times New Roman" w:hAnsi="Times New Roman" w:cs="Times New Roman"/>
          <w:i/>
          <w:iCs/>
          <w:sz w:val="24"/>
          <w:szCs w:val="24"/>
        </w:rPr>
        <w:t xml:space="preserve">, Г.В., Кириллова, Е.В. </w:t>
      </w:r>
      <w:r w:rsidRPr="00300FD9">
        <w:rPr>
          <w:rFonts w:ascii="Times New Roman" w:hAnsi="Times New Roman" w:cs="Times New Roman"/>
          <w:sz w:val="24"/>
          <w:szCs w:val="24"/>
        </w:rPr>
        <w:t xml:space="preserve">Как организовать общение с </w:t>
      </w:r>
      <w:proofErr w:type="spellStart"/>
      <w:r w:rsidRPr="00300FD9">
        <w:rPr>
          <w:rFonts w:ascii="Times New Roman" w:hAnsi="Times New Roman" w:cs="Times New Roman"/>
          <w:sz w:val="24"/>
          <w:szCs w:val="24"/>
        </w:rPr>
        <w:t>неговорящим</w:t>
      </w:r>
      <w:proofErr w:type="spellEnd"/>
      <w:r w:rsidRPr="00300FD9">
        <w:rPr>
          <w:rFonts w:ascii="Times New Roman" w:hAnsi="Times New Roman" w:cs="Times New Roman"/>
          <w:sz w:val="24"/>
          <w:szCs w:val="24"/>
        </w:rPr>
        <w:t xml:space="preserve">  ребенком: Метод, пособие. Сб. № 1. М., 2007</w:t>
      </w:r>
    </w:p>
    <w:p w:rsidR="00300FD9" w:rsidRPr="00300FD9" w:rsidRDefault="00300FD9" w:rsidP="00954FA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0FD9" w:rsidRPr="00300FD9" w:rsidRDefault="00300FD9" w:rsidP="00300F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00FD9">
        <w:rPr>
          <w:rFonts w:ascii="Times New Roman" w:hAnsi="Times New Roman" w:cs="Times New Roman"/>
          <w:i/>
          <w:iCs/>
          <w:sz w:val="24"/>
          <w:szCs w:val="24"/>
        </w:rPr>
        <w:t xml:space="preserve">          5 </w:t>
      </w:r>
      <w:proofErr w:type="spellStart"/>
      <w:r w:rsidRPr="00300FD9">
        <w:rPr>
          <w:rFonts w:ascii="Times New Roman" w:hAnsi="Times New Roman" w:cs="Times New Roman"/>
          <w:i/>
          <w:iCs/>
          <w:sz w:val="24"/>
          <w:szCs w:val="24"/>
        </w:rPr>
        <w:t>Штягинова</w:t>
      </w:r>
      <w:proofErr w:type="spellEnd"/>
      <w:r w:rsidRPr="00300FD9">
        <w:rPr>
          <w:rFonts w:ascii="Times New Roman" w:hAnsi="Times New Roman" w:cs="Times New Roman"/>
          <w:i/>
          <w:iCs/>
          <w:sz w:val="24"/>
          <w:szCs w:val="24"/>
        </w:rPr>
        <w:t xml:space="preserve">, Е.А. </w:t>
      </w:r>
      <w:r w:rsidRPr="00300FD9">
        <w:rPr>
          <w:rFonts w:ascii="Times New Roman" w:hAnsi="Times New Roman" w:cs="Times New Roman"/>
          <w:sz w:val="24"/>
          <w:szCs w:val="24"/>
        </w:rPr>
        <w:t>Альтернативная коммуникация. Методический сборник. Новосибирск: Городская общественная организация инвалидов «Общество ДАУН СИНДРОМ», 2012</w:t>
      </w:r>
    </w:p>
    <w:sectPr w:rsidR="00300FD9" w:rsidRPr="00300FD9" w:rsidSect="006C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52A78"/>
    <w:rsid w:val="00252A78"/>
    <w:rsid w:val="00300FD9"/>
    <w:rsid w:val="003439A4"/>
    <w:rsid w:val="0037280F"/>
    <w:rsid w:val="003F7561"/>
    <w:rsid w:val="00491325"/>
    <w:rsid w:val="00555DAB"/>
    <w:rsid w:val="006C67EE"/>
    <w:rsid w:val="006E525C"/>
    <w:rsid w:val="008242EB"/>
    <w:rsid w:val="008716B1"/>
    <w:rsid w:val="00954FA3"/>
    <w:rsid w:val="00AD7820"/>
    <w:rsid w:val="00F7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2E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72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2018-11-27T09:47:00Z</dcterms:created>
  <dcterms:modified xsi:type="dcterms:W3CDTF">2018-11-27T11:45:00Z</dcterms:modified>
</cp:coreProperties>
</file>