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A9" w:rsidRDefault="002453A9" w:rsidP="002453A9">
      <w:pPr>
        <w:pStyle w:val="c1"/>
        <w:spacing w:before="0" w:beforeAutospacing="0" w:after="0" w:afterAutospacing="0"/>
        <w:ind w:firstLine="360"/>
        <w:jc w:val="center"/>
        <w:rPr>
          <w:rStyle w:val="c0"/>
          <w:color w:val="020C22"/>
        </w:rPr>
      </w:pPr>
      <w:r>
        <w:rPr>
          <w:rStyle w:val="c0"/>
          <w:color w:val="020C22"/>
        </w:rPr>
        <w:t>Мои педагогические находки</w:t>
      </w:r>
    </w:p>
    <w:p w:rsidR="008F2785" w:rsidRPr="008F2785" w:rsidRDefault="008F2785" w:rsidP="008F2785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  <w:r w:rsidRPr="008F2785">
        <w:rPr>
          <w:rStyle w:val="c0"/>
          <w:color w:val="020C22"/>
        </w:rPr>
        <w:t>Меняется мир, меняется человек, меняются задачи образования. Современный</w:t>
      </w:r>
      <w:r w:rsidR="005C6FA0">
        <w:rPr>
          <w:rStyle w:val="c0"/>
          <w:color w:val="020C22"/>
        </w:rPr>
        <w:t xml:space="preserve"> </w:t>
      </w:r>
      <w:r w:rsidRPr="008F2785">
        <w:rPr>
          <w:rStyle w:val="c0"/>
          <w:color w:val="020C22"/>
        </w:rPr>
        <w:t>человек должен обладать такими навыками, которые помогают ему</w:t>
      </w:r>
      <w:r w:rsidR="005C6FA0">
        <w:rPr>
          <w:rStyle w:val="c0"/>
          <w:color w:val="020C22"/>
        </w:rPr>
        <w:t xml:space="preserve"> </w:t>
      </w:r>
      <w:r w:rsidRPr="008F2785">
        <w:rPr>
          <w:rStyle w:val="c0"/>
          <w:color w:val="020C22"/>
        </w:rPr>
        <w:t>организовывать собственную жизнь, делать ее эффективной, интересной,</w:t>
      </w:r>
      <w:r w:rsidR="005C6FA0">
        <w:rPr>
          <w:rStyle w:val="c0"/>
          <w:color w:val="020C22"/>
        </w:rPr>
        <w:t xml:space="preserve"> </w:t>
      </w:r>
      <w:r w:rsidRPr="008F2785">
        <w:rPr>
          <w:rStyle w:val="c0"/>
          <w:color w:val="020C22"/>
        </w:rPr>
        <w:t xml:space="preserve">комфортной, то есть обладать навыками </w:t>
      </w:r>
      <w:r w:rsidRPr="008F2785">
        <w:rPr>
          <w:rStyle w:val="c0"/>
          <w:color w:val="020C22"/>
          <w:lang w:val="en-US"/>
        </w:rPr>
        <w:t>XXI</w:t>
      </w:r>
      <w:r w:rsidRPr="008F2785">
        <w:rPr>
          <w:rStyle w:val="c0"/>
          <w:color w:val="020C22"/>
        </w:rPr>
        <w:t xml:space="preserve"> века. </w:t>
      </w:r>
      <w:proofErr w:type="spellStart"/>
      <w:r w:rsidRPr="008F2785">
        <w:rPr>
          <w:rStyle w:val="c0"/>
          <w:color w:val="020C22"/>
        </w:rPr>
        <w:t>Креативность</w:t>
      </w:r>
      <w:proofErr w:type="spellEnd"/>
      <w:r w:rsidRPr="008F2785">
        <w:rPr>
          <w:rStyle w:val="c0"/>
          <w:color w:val="020C22"/>
        </w:rPr>
        <w:t>, критическое мышление, командная работа — навыки,</w:t>
      </w:r>
      <w:r w:rsidR="005C6FA0">
        <w:rPr>
          <w:rStyle w:val="c0"/>
          <w:color w:val="020C22"/>
        </w:rPr>
        <w:t xml:space="preserve"> </w:t>
      </w:r>
      <w:r w:rsidRPr="008F2785">
        <w:rPr>
          <w:rStyle w:val="c0"/>
          <w:color w:val="020C22"/>
        </w:rPr>
        <w:t xml:space="preserve">востребованные работодателями в </w:t>
      </w:r>
      <w:r w:rsidRPr="008F2785">
        <w:rPr>
          <w:rStyle w:val="c0"/>
          <w:color w:val="020C22"/>
          <w:lang w:val="en-US"/>
        </w:rPr>
        <w:t>XXI</w:t>
      </w:r>
      <w:r w:rsidRPr="008F2785">
        <w:rPr>
          <w:rStyle w:val="c0"/>
          <w:color w:val="020C22"/>
        </w:rPr>
        <w:t xml:space="preserve"> веке, у выпускников школ в России</w:t>
      </w:r>
      <w:r w:rsidR="005C6FA0">
        <w:rPr>
          <w:rStyle w:val="c0"/>
          <w:color w:val="020C22"/>
        </w:rPr>
        <w:t xml:space="preserve"> </w:t>
      </w:r>
      <w:r w:rsidRPr="008F2785">
        <w:rPr>
          <w:rStyle w:val="c0"/>
          <w:color w:val="020C22"/>
        </w:rPr>
        <w:t>встречаются реже, чем в половине стран.</w:t>
      </w:r>
    </w:p>
    <w:p w:rsidR="008F2785" w:rsidRPr="008F2785" w:rsidRDefault="008F2785" w:rsidP="008F2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2785">
        <w:rPr>
          <w:rFonts w:ascii="Times New Roman" w:hAnsi="Times New Roman"/>
          <w:sz w:val="24"/>
          <w:szCs w:val="24"/>
        </w:rPr>
        <w:t xml:space="preserve">Цель  сегодняшней системы обучения состоит в развитии ребенка как  компетентной  личности путем включения его в различные виды </w:t>
      </w:r>
      <w:r w:rsidR="005C6FA0">
        <w:rPr>
          <w:rFonts w:ascii="Times New Roman" w:hAnsi="Times New Roman"/>
          <w:sz w:val="24"/>
          <w:szCs w:val="24"/>
        </w:rPr>
        <w:t>человеческой деятельности.</w:t>
      </w:r>
    </w:p>
    <w:p w:rsidR="008F2785" w:rsidRDefault="005C6FA0" w:rsidP="000B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Моя задача как учителя русского языка и литературы - </w:t>
      </w:r>
      <w:r w:rsidR="008F2785" w:rsidRPr="008F2785">
        <w:rPr>
          <w:rFonts w:ascii="Times New Roman" w:hAnsi="Times New Roman"/>
          <w:sz w:val="24"/>
          <w:szCs w:val="24"/>
        </w:rPr>
        <w:t xml:space="preserve"> создание</w:t>
      </w:r>
      <w:r w:rsidR="000B626B">
        <w:rPr>
          <w:rFonts w:ascii="Times New Roman" w:hAnsi="Times New Roman"/>
          <w:sz w:val="24"/>
          <w:szCs w:val="24"/>
        </w:rPr>
        <w:t xml:space="preserve"> на уроке и во внеурочной деятельности</w:t>
      </w:r>
      <w:r w:rsidR="008F2785" w:rsidRPr="008F2785">
        <w:rPr>
          <w:rFonts w:ascii="Times New Roman" w:hAnsi="Times New Roman"/>
          <w:sz w:val="24"/>
          <w:szCs w:val="24"/>
        </w:rPr>
        <w:t xml:space="preserve"> условий для формирования ключевых компетенций, универсальных учебных действий и обеспечение сферы их применения.</w:t>
      </w:r>
      <w:r w:rsidR="000B626B">
        <w:rPr>
          <w:rFonts w:ascii="Times New Roman" w:hAnsi="Times New Roman"/>
          <w:sz w:val="24"/>
          <w:szCs w:val="24"/>
        </w:rPr>
        <w:t xml:space="preserve"> </w:t>
      </w:r>
      <w:r w:rsidR="008F2785" w:rsidRPr="008F2785">
        <w:rPr>
          <w:rFonts w:ascii="Times New Roman" w:hAnsi="Times New Roman"/>
          <w:sz w:val="24"/>
          <w:szCs w:val="24"/>
        </w:rPr>
        <w:t>На уроке необходимо использовать</w:t>
      </w:r>
      <w:r w:rsidR="008F2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785" w:rsidRPr="008F2785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="008F2785" w:rsidRPr="008F2785">
        <w:rPr>
          <w:rFonts w:ascii="Times New Roman" w:hAnsi="Times New Roman"/>
          <w:sz w:val="24"/>
          <w:szCs w:val="24"/>
        </w:rPr>
        <w:t xml:space="preserve"> подход с применением дифференцированной технологии обучения. Она является одной из наиболее эффективных форм работы с учащимися. </w:t>
      </w:r>
      <w:r w:rsidR="000B626B">
        <w:rPr>
          <w:rFonts w:ascii="Times New Roman" w:hAnsi="Times New Roman"/>
          <w:sz w:val="24"/>
          <w:szCs w:val="24"/>
        </w:rPr>
        <w:t xml:space="preserve">Хочу поделиться теми наработками </w:t>
      </w:r>
      <w:proofErr w:type="gramStart"/>
      <w:r w:rsidR="000B626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B626B">
        <w:rPr>
          <w:rFonts w:ascii="Times New Roman" w:hAnsi="Times New Roman"/>
          <w:sz w:val="24"/>
          <w:szCs w:val="24"/>
        </w:rPr>
        <w:t xml:space="preserve">приемами), которые успешно реализуются на практике.  </w:t>
      </w:r>
      <w:r w:rsidR="008F2785" w:rsidRPr="008F2785">
        <w:rPr>
          <w:rFonts w:ascii="Times New Roman" w:hAnsi="Times New Roman"/>
          <w:sz w:val="24"/>
          <w:szCs w:val="24"/>
        </w:rPr>
        <w:t>Например, «Парковка идей»</w:t>
      </w:r>
      <w:proofErr w:type="gramStart"/>
      <w:r w:rsidR="008F2785" w:rsidRPr="008F2785">
        <w:rPr>
          <w:rFonts w:ascii="Times New Roman" w:hAnsi="Times New Roman"/>
          <w:sz w:val="24"/>
          <w:szCs w:val="24"/>
        </w:rPr>
        <w:t>.</w:t>
      </w:r>
      <w:r w:rsidR="000B626B">
        <w:rPr>
          <w:rFonts w:ascii="Times New Roman" w:hAnsi="Times New Roman"/>
          <w:sz w:val="24"/>
          <w:szCs w:val="24"/>
        </w:rPr>
        <w:t>Э</w:t>
      </w:r>
      <w:proofErr w:type="gramEnd"/>
      <w:r w:rsidR="000B626B">
        <w:rPr>
          <w:rFonts w:ascii="Times New Roman" w:hAnsi="Times New Roman"/>
          <w:sz w:val="24"/>
          <w:szCs w:val="24"/>
        </w:rPr>
        <w:t xml:space="preserve">то </w:t>
      </w:r>
      <w:r w:rsidR="008F2785" w:rsidRPr="008F2785">
        <w:rPr>
          <w:rFonts w:ascii="Times New Roman" w:hAnsi="Times New Roman"/>
          <w:sz w:val="24"/>
          <w:szCs w:val="24"/>
        </w:rPr>
        <w:t xml:space="preserve"> рефлексивная техника, представляющая собой письменное выражение идей, предложений, вопросов, озарений и выводов учеников, родителей. Как правило, визуализируется на большом листе бумаге или досках </w:t>
      </w:r>
      <w:r w:rsidR="000B626B">
        <w:rPr>
          <w:rFonts w:ascii="Times New Roman" w:hAnsi="Times New Roman"/>
          <w:sz w:val="24"/>
          <w:szCs w:val="24"/>
        </w:rPr>
        <w:t xml:space="preserve">(у меня на части доски) </w:t>
      </w:r>
      <w:r w:rsidR="008F2785" w:rsidRPr="008F2785">
        <w:rPr>
          <w:rFonts w:ascii="Times New Roman" w:hAnsi="Times New Roman"/>
          <w:sz w:val="24"/>
          <w:szCs w:val="24"/>
        </w:rPr>
        <w:t xml:space="preserve">и располагается на видном месте в классе таким образом, чтобы каждый имел к нему доступ. Цель использования: «Парковка идей» позволяет ученикам анонимно высказать свое мнение, а учителю— </w:t>
      </w:r>
      <w:proofErr w:type="gramStart"/>
      <w:r w:rsidR="008F2785" w:rsidRPr="008F2785">
        <w:rPr>
          <w:rFonts w:ascii="Times New Roman" w:hAnsi="Times New Roman"/>
          <w:sz w:val="24"/>
          <w:szCs w:val="24"/>
        </w:rPr>
        <w:t>по</w:t>
      </w:r>
      <w:proofErr w:type="gramEnd"/>
      <w:r w:rsidR="008F2785" w:rsidRPr="008F2785">
        <w:rPr>
          <w:rFonts w:ascii="Times New Roman" w:hAnsi="Times New Roman"/>
          <w:sz w:val="24"/>
          <w:szCs w:val="24"/>
        </w:rPr>
        <w:t>лучить обратную связь, корректировать преподавание в соответствии с предложениями или объяснить детям, почему конкретное предложение не удастся реализовать</w:t>
      </w:r>
      <w:r w:rsidR="008F2785">
        <w:rPr>
          <w:rFonts w:ascii="Times New Roman" w:hAnsi="Times New Roman"/>
          <w:sz w:val="24"/>
          <w:szCs w:val="24"/>
        </w:rPr>
        <w:t>.</w:t>
      </w:r>
      <w:r w:rsidR="000B626B">
        <w:rPr>
          <w:rFonts w:ascii="Times New Roman" w:hAnsi="Times New Roman"/>
          <w:sz w:val="24"/>
          <w:szCs w:val="24"/>
        </w:rPr>
        <w:t xml:space="preserve"> Этот прием позволяет задать вопросы тем учащимся, которые не могут / </w:t>
      </w:r>
      <w:proofErr w:type="gramStart"/>
      <w:r w:rsidR="000B626B">
        <w:rPr>
          <w:rFonts w:ascii="Times New Roman" w:hAnsi="Times New Roman"/>
          <w:sz w:val="24"/>
          <w:szCs w:val="24"/>
        </w:rPr>
        <w:t>боятся</w:t>
      </w:r>
      <w:proofErr w:type="gramEnd"/>
      <w:r w:rsidR="000B626B">
        <w:rPr>
          <w:rFonts w:ascii="Times New Roman" w:hAnsi="Times New Roman"/>
          <w:sz w:val="24"/>
          <w:szCs w:val="24"/>
        </w:rPr>
        <w:t>, стесняются/ задать вопрос при всем классе. Маркировка:</w:t>
      </w:r>
    </w:p>
    <w:p w:rsidR="000B626B" w:rsidRDefault="000B626B" w:rsidP="000B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 – надо задать вопрос учителю</w:t>
      </w:r>
    </w:p>
    <w:p w:rsidR="000B626B" w:rsidRDefault="000B626B" w:rsidP="000B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!- это для меня важно \ открытие ученика</w:t>
      </w:r>
    </w:p>
    <w:p w:rsidR="00215A2D" w:rsidRDefault="006E5D80" w:rsidP="000B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95pt;margin-top:17.35pt;width:176.4pt;height:19.25pt;z-index:251660288">
            <v:textbox>
              <w:txbxContent>
                <w:p w:rsidR="000B626B" w:rsidRDefault="000B626B">
                  <w:r>
                    <w:t>- возьму с собой дальше, в жизнь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6.15pt;margin-top:24.5pt;width:21.6pt;height:12.05pt;z-index:251659264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.75pt;margin-top:17.35pt;width:21pt;height:7.15pt;z-index:251658240"/>
        </w:pict>
      </w:r>
      <w:r w:rsidR="000B626B">
        <w:rPr>
          <w:rFonts w:ascii="Times New Roman" w:hAnsi="Times New Roman"/>
          <w:sz w:val="24"/>
          <w:szCs w:val="24"/>
        </w:rPr>
        <w:t>+ - у меня получилось</w:t>
      </w:r>
    </w:p>
    <w:p w:rsidR="00215A2D" w:rsidRPr="00215A2D" w:rsidRDefault="00215A2D" w:rsidP="00215A2D">
      <w:pPr>
        <w:rPr>
          <w:rFonts w:ascii="Times New Roman" w:hAnsi="Times New Roman"/>
          <w:sz w:val="24"/>
          <w:szCs w:val="24"/>
        </w:rPr>
      </w:pPr>
    </w:p>
    <w:p w:rsidR="00215A2D" w:rsidRPr="00215A2D" w:rsidRDefault="00215A2D" w:rsidP="00215A2D">
      <w:pPr>
        <w:rPr>
          <w:rFonts w:ascii="Times New Roman" w:hAnsi="Times New Roman"/>
          <w:sz w:val="24"/>
          <w:szCs w:val="24"/>
        </w:rPr>
      </w:pPr>
    </w:p>
    <w:p w:rsidR="00215A2D" w:rsidRPr="00215A2D" w:rsidRDefault="00215A2D" w:rsidP="00215A2D">
      <w:pPr>
        <w:rPr>
          <w:rFonts w:ascii="Times New Roman" w:hAnsi="Times New Roman"/>
          <w:sz w:val="24"/>
          <w:szCs w:val="24"/>
        </w:rPr>
      </w:pPr>
    </w:p>
    <w:p w:rsidR="008F2785" w:rsidRPr="008F2785" w:rsidRDefault="008F2785" w:rsidP="008F2785">
      <w:p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785">
        <w:rPr>
          <w:rFonts w:ascii="Times New Roman" w:hAnsi="Times New Roman"/>
          <w:sz w:val="24"/>
          <w:szCs w:val="24"/>
        </w:rPr>
        <w:t xml:space="preserve">Еще очень интересным, </w:t>
      </w:r>
      <w:r>
        <w:rPr>
          <w:rFonts w:ascii="Times New Roman" w:hAnsi="Times New Roman"/>
          <w:sz w:val="24"/>
          <w:szCs w:val="24"/>
        </w:rPr>
        <w:t>на мой взгляд, прием – «До» и «П</w:t>
      </w:r>
      <w:r w:rsidRPr="008F2785">
        <w:rPr>
          <w:rFonts w:ascii="Times New Roman" w:hAnsi="Times New Roman"/>
          <w:sz w:val="24"/>
          <w:szCs w:val="24"/>
        </w:rPr>
        <w:t>осле»</w:t>
      </w:r>
      <w:proofErr w:type="gramStart"/>
      <w:r w:rsidRPr="008F2785">
        <w:rPr>
          <w:rFonts w:ascii="Times New Roman" w:hAnsi="Times New Roman"/>
          <w:sz w:val="24"/>
          <w:szCs w:val="24"/>
        </w:rPr>
        <w:t>.</w:t>
      </w:r>
      <w:r w:rsidRPr="008F2785">
        <w:rPr>
          <w:rFonts w:ascii="Times New Roman" w:hAnsi="Times New Roman"/>
          <w:color w:val="000000"/>
          <w:sz w:val="24"/>
          <w:szCs w:val="24"/>
        </w:rPr>
        <w:t>Э</w:t>
      </w:r>
      <w:proofErr w:type="gramEnd"/>
      <w:r w:rsidRPr="008F2785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Pr="008F2785">
        <w:rPr>
          <w:rFonts w:ascii="Times New Roman" w:hAnsi="Times New Roman"/>
          <w:sz w:val="24"/>
          <w:szCs w:val="24"/>
        </w:rPr>
        <w:t>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</w:t>
      </w:r>
    </w:p>
    <w:p w:rsidR="008F2785" w:rsidRPr="008F2785" w:rsidRDefault="008F2785" w:rsidP="008F2785">
      <w:p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прием ф</w:t>
      </w:r>
      <w:r w:rsidRPr="008F2785">
        <w:rPr>
          <w:rFonts w:ascii="Times New Roman" w:hAnsi="Times New Roman"/>
          <w:sz w:val="24"/>
          <w:szCs w:val="24"/>
        </w:rPr>
        <w:t>ормирует:</w:t>
      </w:r>
    </w:p>
    <w:p w:rsidR="008F2785" w:rsidRPr="008F2785" w:rsidRDefault="008F2785" w:rsidP="008F278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 w:rsidRPr="008F2785">
        <w:rPr>
          <w:rFonts w:ascii="Times New Roman" w:hAnsi="Times New Roman"/>
          <w:sz w:val="24"/>
          <w:szCs w:val="24"/>
        </w:rPr>
        <w:t>умение прогнозировать события;</w:t>
      </w:r>
    </w:p>
    <w:p w:rsidR="008F2785" w:rsidRPr="008F2785" w:rsidRDefault="008F2785" w:rsidP="008F278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 w:rsidRPr="008F2785">
        <w:rPr>
          <w:rFonts w:ascii="Times New Roman" w:hAnsi="Times New Roman"/>
          <w:sz w:val="24"/>
          <w:szCs w:val="24"/>
        </w:rPr>
        <w:t>умение соотносить известные и неизвестные факты;</w:t>
      </w:r>
    </w:p>
    <w:p w:rsidR="008F2785" w:rsidRPr="008F2785" w:rsidRDefault="008F2785" w:rsidP="008F278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 w:rsidRPr="008F2785">
        <w:rPr>
          <w:rFonts w:ascii="Times New Roman" w:hAnsi="Times New Roman"/>
          <w:sz w:val="24"/>
          <w:szCs w:val="24"/>
        </w:rPr>
        <w:t>умение выражать свои мысли;</w:t>
      </w:r>
    </w:p>
    <w:p w:rsidR="008F2785" w:rsidRPr="008F2785" w:rsidRDefault="008F2785" w:rsidP="008F278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 w:rsidRPr="008F2785">
        <w:rPr>
          <w:rFonts w:ascii="Times New Roman" w:hAnsi="Times New Roman"/>
          <w:sz w:val="24"/>
          <w:szCs w:val="24"/>
        </w:rPr>
        <w:t>умение сравнивать и делать вывод.</w:t>
      </w:r>
    </w:p>
    <w:p w:rsidR="008F2785" w:rsidRPr="008F2785" w:rsidRDefault="008F2785" w:rsidP="008F2785">
      <w:p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8F2785">
        <w:rPr>
          <w:rFonts w:ascii="Times New Roman" w:hAnsi="Times New Roman"/>
          <w:sz w:val="24"/>
          <w:szCs w:val="24"/>
        </w:rPr>
        <w:t>В таблице из двух столбцов заполняется часть "До", в которой учащийся записывает свои предположения о теме урока, о решении задачи урока, может записать гипотезу.</w:t>
      </w:r>
    </w:p>
    <w:p w:rsidR="008F2785" w:rsidRPr="008F2785" w:rsidRDefault="008F2785" w:rsidP="008F2785">
      <w:p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F2785">
        <w:rPr>
          <w:rFonts w:ascii="Times New Roman" w:hAnsi="Times New Roman"/>
          <w:sz w:val="24"/>
          <w:szCs w:val="24"/>
        </w:rPr>
        <w:t>Часть "После" заполняется в конце урока, когда изучен новый материал, проведен эксперимент, прочитан текст и т.д.</w:t>
      </w:r>
    </w:p>
    <w:p w:rsidR="008F2785" w:rsidRPr="008F2785" w:rsidRDefault="008F2785" w:rsidP="008F2785">
      <w:pPr>
        <w:spacing w:before="100" w:beforeAutospacing="1" w:after="100" w:afterAutospacing="1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F2785">
        <w:rPr>
          <w:rFonts w:ascii="Times New Roman" w:hAnsi="Times New Roman"/>
          <w:sz w:val="24"/>
          <w:szCs w:val="24"/>
        </w:rPr>
        <w:t xml:space="preserve">Далее ученик сравнивает содержание "До" и "После" и делает вывод, делясь им со всем классом. Так в идеале высказывается каждый ученик, называет места, в чем он прав или ошибся. Рекомендую на этот этап рефлексии отвести не менее 8 минут урока. Так мы развиваем у учащихся умение оценивать себя, сопоставлять результаты своей работы с работой в команде, умение говорить на уроке, </w:t>
      </w:r>
      <w:proofErr w:type="gramStart"/>
      <w:r w:rsidRPr="008F2785">
        <w:rPr>
          <w:rFonts w:ascii="Times New Roman" w:hAnsi="Times New Roman"/>
          <w:sz w:val="24"/>
          <w:szCs w:val="24"/>
        </w:rPr>
        <w:t>анализируя</w:t>
      </w:r>
      <w:proofErr w:type="gramEnd"/>
      <w:r w:rsidRPr="008F2785">
        <w:rPr>
          <w:rFonts w:ascii="Times New Roman" w:hAnsi="Times New Roman"/>
          <w:sz w:val="24"/>
          <w:szCs w:val="24"/>
        </w:rPr>
        <w:t xml:space="preserve"> прежде всего свою роль. </w:t>
      </w:r>
      <w:proofErr w:type="gramStart"/>
      <w:r w:rsidRPr="008F2785">
        <w:rPr>
          <w:rFonts w:ascii="Times New Roman" w:hAnsi="Times New Roman"/>
          <w:sz w:val="24"/>
          <w:szCs w:val="24"/>
        </w:rPr>
        <w:t>(</w:t>
      </w:r>
      <w:r w:rsidRPr="005C6FA0">
        <w:rPr>
          <w:rFonts w:ascii="Times New Roman" w:hAnsi="Times New Roman"/>
          <w:sz w:val="24"/>
          <w:szCs w:val="24"/>
        </w:rPr>
        <w:t>Приложение</w:t>
      </w:r>
      <w:r w:rsidR="005C6FA0" w:rsidRPr="005C6FA0">
        <w:rPr>
          <w:rFonts w:ascii="Times New Roman" w:hAnsi="Times New Roman"/>
          <w:sz w:val="24"/>
          <w:szCs w:val="24"/>
        </w:rPr>
        <w:t xml:space="preserve"> к уроку 5 класс</w:t>
      </w:r>
      <w:r w:rsidRPr="005C6FA0">
        <w:rPr>
          <w:rFonts w:ascii="Times New Roman" w:hAnsi="Times New Roman"/>
          <w:sz w:val="24"/>
          <w:szCs w:val="24"/>
        </w:rPr>
        <w:t>.</w:t>
      </w:r>
      <w:proofErr w:type="gramEnd"/>
      <w:r w:rsidRPr="005C6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6FA0">
        <w:rPr>
          <w:rFonts w:ascii="Times New Roman" w:hAnsi="Times New Roman"/>
          <w:sz w:val="24"/>
          <w:szCs w:val="24"/>
        </w:rPr>
        <w:t>Прием «До» и «После»)</w:t>
      </w:r>
      <w:proofErr w:type="gramEnd"/>
    </w:p>
    <w:p w:rsidR="00E855BE" w:rsidRDefault="008F2785" w:rsidP="008F2785">
      <w:pPr>
        <w:rPr>
          <w:rFonts w:ascii="Times New Roman" w:hAnsi="Times New Roman"/>
          <w:sz w:val="24"/>
          <w:szCs w:val="24"/>
        </w:rPr>
      </w:pPr>
      <w:r w:rsidRPr="008F2785">
        <w:rPr>
          <w:rFonts w:ascii="Times New Roman" w:hAnsi="Times New Roman"/>
          <w:sz w:val="24"/>
          <w:szCs w:val="24"/>
        </w:rPr>
        <w:t xml:space="preserve"> </w:t>
      </w: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5C6FA0" w:rsidRDefault="005C6FA0" w:rsidP="008F2785">
      <w:pPr>
        <w:rPr>
          <w:rFonts w:ascii="Times New Roman" w:hAnsi="Times New Roman"/>
          <w:sz w:val="24"/>
          <w:szCs w:val="24"/>
        </w:rPr>
      </w:pPr>
    </w:p>
    <w:p w:rsidR="00215A2D" w:rsidRDefault="00215A2D" w:rsidP="005C6FA0">
      <w:pPr>
        <w:rPr>
          <w:rFonts w:ascii="Times New Roman" w:hAnsi="Times New Roman"/>
        </w:rPr>
      </w:pPr>
    </w:p>
    <w:p w:rsidR="00215A2D" w:rsidRDefault="00215A2D" w:rsidP="005C6FA0">
      <w:pPr>
        <w:rPr>
          <w:rFonts w:ascii="Times New Roman" w:hAnsi="Times New Roman"/>
        </w:rPr>
      </w:pPr>
    </w:p>
    <w:p w:rsidR="00215A2D" w:rsidRDefault="00215A2D" w:rsidP="005C6FA0">
      <w:pPr>
        <w:rPr>
          <w:rFonts w:ascii="Times New Roman" w:hAnsi="Times New Roman"/>
        </w:rPr>
      </w:pPr>
    </w:p>
    <w:p w:rsidR="005C6FA0" w:rsidRPr="00215A2D" w:rsidRDefault="005C6FA0" w:rsidP="005C6FA0">
      <w:pPr>
        <w:rPr>
          <w:rFonts w:ascii="Times New Roman" w:hAnsi="Times New Roman"/>
        </w:rPr>
      </w:pPr>
      <w:r w:rsidRPr="00215A2D">
        <w:rPr>
          <w:rFonts w:ascii="Times New Roman" w:hAnsi="Times New Roman"/>
        </w:rPr>
        <w:lastRenderedPageBreak/>
        <w:t>Приложение к уроку «Словосочетание» 5 класс.</w:t>
      </w:r>
    </w:p>
    <w:p w:rsidR="005C6FA0" w:rsidRPr="00215A2D" w:rsidRDefault="005C6FA0" w:rsidP="005C6FA0">
      <w:pPr>
        <w:rPr>
          <w:rFonts w:ascii="Times New Roman" w:hAnsi="Times New Roman"/>
        </w:rPr>
      </w:pPr>
      <w:r w:rsidRPr="00215A2D">
        <w:rPr>
          <w:rFonts w:ascii="Times New Roman" w:hAnsi="Times New Roman"/>
        </w:rPr>
        <w:t>План работы на уроке:</w:t>
      </w:r>
    </w:p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t xml:space="preserve">Учащиеся получают данные карточки в начале урока. Еще не зная теории по теме, ученики заполняют графу «ДО». </w:t>
      </w:r>
    </w:p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t xml:space="preserve">Ученик читает высказывание. Если </w:t>
      </w:r>
      <w:proofErr w:type="gramStart"/>
      <w:r w:rsidRPr="00215A2D">
        <w:rPr>
          <w:rFonts w:ascii="Times New Roman" w:hAnsi="Times New Roman" w:cs="Times New Roman"/>
        </w:rPr>
        <w:t>согласен</w:t>
      </w:r>
      <w:proofErr w:type="gramEnd"/>
      <w:r w:rsidRPr="00215A2D">
        <w:rPr>
          <w:rFonts w:ascii="Times New Roman" w:hAnsi="Times New Roman" w:cs="Times New Roman"/>
        </w:rPr>
        <w:t xml:space="preserve"> с ним, ставит +. Если не согласен -.</w:t>
      </w:r>
    </w:p>
    <w:p w:rsidR="005C6FA0" w:rsidRPr="00215A2D" w:rsidRDefault="005C6FA0" w:rsidP="005C6FA0">
      <w:pPr>
        <w:rPr>
          <w:rFonts w:ascii="Times New Roman" w:hAnsi="Times New Roman"/>
        </w:rPr>
      </w:pPr>
      <w:r w:rsidRPr="00215A2D">
        <w:rPr>
          <w:rFonts w:ascii="Times New Roman" w:hAnsi="Times New Roman"/>
        </w:rPr>
        <w:t>Например</w:t>
      </w:r>
      <w:proofErr w:type="gramStart"/>
      <w:r w:rsidRPr="00215A2D">
        <w:rPr>
          <w:rFonts w:ascii="Times New Roman" w:hAnsi="Times New Roman"/>
        </w:rPr>
        <w:t>,:</w:t>
      </w:r>
      <w:proofErr w:type="gramEnd"/>
    </w:p>
    <w:tbl>
      <w:tblPr>
        <w:tblStyle w:val="a4"/>
        <w:tblpPr w:leftFromText="180" w:rightFromText="180" w:vertAnchor="page" w:horzAnchor="margin" w:tblpY="3673"/>
        <w:tblW w:w="0" w:type="auto"/>
        <w:tblLook w:val="04A0"/>
      </w:tblPr>
      <w:tblGrid>
        <w:gridCol w:w="3171"/>
        <w:gridCol w:w="3171"/>
        <w:gridCol w:w="3171"/>
      </w:tblGrid>
      <w:tr w:rsidR="005C6FA0" w:rsidRPr="00215A2D" w:rsidTr="005C6FA0">
        <w:trPr>
          <w:trHeight w:val="366"/>
        </w:trPr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«ДО»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Высказывание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«После»</w:t>
            </w:r>
          </w:p>
        </w:tc>
      </w:tr>
      <w:tr w:rsidR="005C6FA0" w:rsidRPr="00215A2D" w:rsidTr="005C6FA0">
        <w:trPr>
          <w:trHeight w:val="1057"/>
        </w:trPr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 xml:space="preserve">1.. Словосочетание – два или несколько самостоятельных слов, объединенных по смыслу и грамматически. 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</w:tc>
      </w:tr>
      <w:tr w:rsidR="005C6FA0" w:rsidRPr="00215A2D" w:rsidTr="005C6FA0">
        <w:trPr>
          <w:trHeight w:val="732"/>
        </w:trPr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-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2.Словосочетание состоит из главного слова и зависимого.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</w:tc>
      </w:tr>
      <w:tr w:rsidR="005C6FA0" w:rsidRPr="00215A2D" w:rsidTr="005C6FA0">
        <w:trPr>
          <w:trHeight w:val="1525"/>
        </w:trPr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</w:tc>
      </w:tr>
      <w:tr w:rsidR="005C6FA0" w:rsidRPr="00215A2D" w:rsidTr="005C6FA0">
        <w:trPr>
          <w:trHeight w:val="610"/>
        </w:trPr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+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4. Связь в словосочетании – подчинительная</w:t>
            </w:r>
          </w:p>
        </w:tc>
        <w:tc>
          <w:tcPr>
            <w:tcW w:w="317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</w:rPr>
            </w:pPr>
            <w:r w:rsidRPr="00215A2D">
              <w:rPr>
                <w:rFonts w:ascii="Times New Roman" w:hAnsi="Times New Roman"/>
              </w:rPr>
              <w:t>-</w:t>
            </w:r>
          </w:p>
        </w:tc>
      </w:tr>
    </w:tbl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t xml:space="preserve">Далее учащиеся работают с темой урока, читают параграф учебника или смотрят урок в ЦОК, составляют схемы, другие записи. </w:t>
      </w:r>
    </w:p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t>Практика</w:t>
      </w:r>
    </w:p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t>Рефлексия: снова читают высказывания, если согласны с ним, ставят +, нет</w:t>
      </w:r>
      <w:proofErr w:type="gramStart"/>
      <w:r w:rsidRPr="00215A2D">
        <w:rPr>
          <w:rFonts w:ascii="Times New Roman" w:hAnsi="Times New Roman" w:cs="Times New Roman"/>
        </w:rPr>
        <w:t xml:space="preserve"> -. </w:t>
      </w:r>
      <w:proofErr w:type="gramEnd"/>
      <w:r w:rsidRPr="00215A2D">
        <w:rPr>
          <w:rFonts w:ascii="Times New Roman" w:hAnsi="Times New Roman" w:cs="Times New Roman"/>
        </w:rPr>
        <w:t>Так заполняется графа «Против»</w:t>
      </w:r>
    </w:p>
    <w:p w:rsidR="005C6FA0" w:rsidRPr="00215A2D" w:rsidRDefault="005C6FA0" w:rsidP="005C6FA0">
      <w:pPr>
        <w:pStyle w:val="a5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10429"/>
        <w:tblW w:w="0" w:type="auto"/>
        <w:tblLook w:val="04A0"/>
      </w:tblPr>
      <w:tblGrid>
        <w:gridCol w:w="3131"/>
        <w:gridCol w:w="3131"/>
        <w:gridCol w:w="3131"/>
      </w:tblGrid>
      <w:tr w:rsidR="005C6FA0" w:rsidRPr="00215A2D" w:rsidTr="005C6FA0">
        <w:trPr>
          <w:trHeight w:val="393"/>
        </w:trPr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«ДО»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Высказывание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«После»</w:t>
            </w:r>
          </w:p>
        </w:tc>
      </w:tr>
      <w:tr w:rsidR="005C6FA0" w:rsidRPr="00215A2D" w:rsidTr="005C6FA0">
        <w:trPr>
          <w:trHeight w:val="1078"/>
        </w:trPr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 xml:space="preserve">1.. Словосочетание – два или несколько самостоятельных слов, объединенных по смыслу и грамматически. 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</w:tc>
      </w:tr>
      <w:tr w:rsidR="005C6FA0" w:rsidRPr="00215A2D" w:rsidTr="005C6FA0">
        <w:trPr>
          <w:trHeight w:val="764"/>
        </w:trPr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2.Словосочетание состоит из главного слова и зависимого.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</w:tc>
      </w:tr>
      <w:tr w:rsidR="005C6FA0" w:rsidRPr="00215A2D" w:rsidTr="005C6FA0">
        <w:trPr>
          <w:trHeight w:val="1314"/>
        </w:trPr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</w:tc>
      </w:tr>
      <w:tr w:rsidR="005C6FA0" w:rsidRPr="00215A2D" w:rsidTr="005C6FA0">
        <w:trPr>
          <w:trHeight w:val="618"/>
        </w:trPr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4. Связь в словосочетании – подчинительная</w:t>
            </w:r>
          </w:p>
        </w:tc>
        <w:tc>
          <w:tcPr>
            <w:tcW w:w="3131" w:type="dxa"/>
          </w:tcPr>
          <w:p w:rsidR="005C6FA0" w:rsidRPr="00215A2D" w:rsidRDefault="005C6FA0" w:rsidP="005C6FA0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215A2D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5C6FA0" w:rsidRPr="00215A2D" w:rsidRDefault="005C6FA0" w:rsidP="005C6FA0">
      <w:pPr>
        <w:pStyle w:val="a5"/>
        <w:rPr>
          <w:rFonts w:ascii="Times New Roman" w:hAnsi="Times New Roman" w:cs="Times New Roman"/>
        </w:rPr>
      </w:pPr>
    </w:p>
    <w:p w:rsidR="005C6FA0" w:rsidRPr="00215A2D" w:rsidRDefault="005C6FA0" w:rsidP="005C6FA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15A2D">
        <w:rPr>
          <w:rFonts w:ascii="Times New Roman" w:hAnsi="Times New Roman" w:cs="Times New Roman"/>
        </w:rPr>
        <w:lastRenderedPageBreak/>
        <w:t>Анализ результата: Например, «Я думал, что связь в словосочетании – подчинительная, но это не так. Связь в словосочетании – сочинительная и подчинительная». Так высказывается каждый ученик, у которого есть разница в графах «до» и «после»</w:t>
      </w:r>
      <w:bookmarkStart w:id="0" w:name="_GoBack"/>
      <w:bookmarkEnd w:id="0"/>
    </w:p>
    <w:p w:rsidR="005C6FA0" w:rsidRPr="00215A2D" w:rsidRDefault="005C6FA0" w:rsidP="008F2785">
      <w:pPr>
        <w:rPr>
          <w:rFonts w:ascii="Times New Roman" w:hAnsi="Times New Roman"/>
          <w:sz w:val="24"/>
          <w:szCs w:val="24"/>
        </w:rPr>
      </w:pPr>
    </w:p>
    <w:sectPr w:rsidR="005C6FA0" w:rsidRPr="00215A2D" w:rsidSect="00E8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2C02"/>
    <w:multiLevelType w:val="hybridMultilevel"/>
    <w:tmpl w:val="4FBA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541B"/>
    <w:multiLevelType w:val="multilevel"/>
    <w:tmpl w:val="D03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85"/>
    <w:rsid w:val="000B626B"/>
    <w:rsid w:val="00215A2D"/>
    <w:rsid w:val="002453A9"/>
    <w:rsid w:val="005C6FA0"/>
    <w:rsid w:val="006E5D80"/>
    <w:rsid w:val="008F2785"/>
    <w:rsid w:val="00E855BE"/>
    <w:rsid w:val="00E86488"/>
    <w:rsid w:val="00E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785"/>
    <w:rPr>
      <w:color w:val="0563C1" w:themeColor="hyperlink"/>
      <w:u w:val="single"/>
    </w:rPr>
  </w:style>
  <w:style w:type="paragraph" w:customStyle="1" w:styleId="c1">
    <w:name w:val="c1"/>
    <w:basedOn w:val="a"/>
    <w:rsid w:val="008F2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F2785"/>
  </w:style>
  <w:style w:type="table" w:styleId="a4">
    <w:name w:val="Table Grid"/>
    <w:basedOn w:val="a1"/>
    <w:uiPriority w:val="39"/>
    <w:rsid w:val="005C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F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2024-03-26T06:48:00Z</dcterms:created>
  <dcterms:modified xsi:type="dcterms:W3CDTF">2024-03-26T08:02:00Z</dcterms:modified>
</cp:coreProperties>
</file>