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 w:line="360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Богатова Надежда Ивановна</w:t>
      </w:r>
      <w:r>
        <w:rPr>
          <w:sz w:val="24"/>
        </w:rPr>
      </w:r>
      <w:r/>
    </w:p>
    <w:p>
      <w:pPr>
        <w:jc w:val="right"/>
        <w:spacing w:after="0" w:afterAutospacing="0" w:line="360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учитель истории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и географии </w:t>
      </w:r>
      <w:r>
        <w:rPr>
          <w:rFonts w:ascii="Times New Roman" w:hAnsi="Times New Roman" w:cs="Times New Roman" w:eastAsia="Times New Roman"/>
          <w:sz w:val="24"/>
          <w:highlight w:val="none"/>
          <w:lang w:val="en-US"/>
        </w:rPr>
        <w:t xml:space="preserve">I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квалификационной категории</w:t>
      </w:r>
      <w:r>
        <w:rPr>
          <w:sz w:val="24"/>
        </w:rPr>
      </w:r>
      <w:r/>
    </w:p>
    <w:p>
      <w:pPr>
        <w:jc w:val="right"/>
        <w:spacing w:after="0" w:afterAutospacing="0" w:line="360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МБОУ «СОШ № 3 г. Козьмодемьянска им. С. Н. Сивкова»</w:t>
      </w:r>
      <w:r>
        <w:rPr>
          <w:sz w:val="24"/>
        </w:rPr>
      </w:r>
      <w:r/>
    </w:p>
    <w:p>
      <w:pPr>
        <w:jc w:val="right"/>
        <w:spacing w:after="0" w:afterAutospacing="0" w:line="480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Республика Марий Эл</w:t>
      </w: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МЕТОДИЧЕСКАЯ РАЗРАБОТКА ДИДАКТИЧЕСКОГО МАТЕРИАЛА К УРОКУ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«ПРИРОДНЫЕ ЗОНЫ РОССИИ. АРКТИКА» ПО ГЕОГРАФИИ В 8 КЛАССЕ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1E4F79" w:themeColor="accent1" w:themeShade="80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          Аннотация: в статье рассматривается применение дидактической технологии «кроссворд» в образовательном процессе.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Кроссворды расширяют кругозор и увеличивают словарный запас,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развивают память, тренируют логическое мышление.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Кроссворд - мощное дидактическое средство, соединяющее серьёзное интеллектуальное занятие и игровой элемент, размышление и развлечение.</w:t>
      </w:r>
      <w:r>
        <w:rPr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rPr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     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Ключевые слова: обучение, игра, кроссворд.</w:t>
      </w:r>
      <w:r>
        <w:rPr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        Обучающая роль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кроссвордов заключается в том, что позволяет в игровой ситуации интенсифицировать процесс усвоения и закрепления знаний, а положительные эмоции, возникшие у обучающихся в процессе разгадывания кроссвордов, обеспечивают формирование коммуникативных и интелл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ектуальных умений.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Развивающая и организующая роль кроссвордов также велика: при их решении обучающиеся учатся работать с учебниками, пособиями, справочниками, то есть включаются в учебную деятельность </w:t>
      </w:r>
      <w:r>
        <w:rPr>
          <w:rFonts w:ascii="Times New Roman" w:hAnsi="Times New Roman" w:cs="Times New Roman" w:eastAsia="Times New Roman"/>
        </w:rPr>
        <w:t xml:space="preserve">[1]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        Решение кроссвордов часто стирает интеллектуальные границы между членами группы, поэтому каждый обучающийся может почувствовать себя нужным в едином процессе обучения. Это важно для создания здоровой коллективной атмосферы в детском соо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бществе. Отгадка хотя бы одного слова в целом кроссворде – это уже успех, удача, появляются положительные эмоции, уверенность в своих силах, чувство интеллектуальной полноценности, возникает желание искать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и отгадывать другие слова, то есть активизируется познавательный процесс.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       Д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остоинство данных дидактических средств заключается в том, что они вносят в познавательный процесс игровой элемент, активизируют умственную деятельность, способствуют развитию поисково-творческих способностей обучающихся, умения применять свои знания, быст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ро ориентироваться в приобретённых сведениях.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Кроссворды служат превосходным тренингом умственной деятельности, дают решающему их возможность самовыражения.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         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Для педагога включение дидактической игры – кроссворд в занятие - целесообразная форма организации активного общения, отвечающей целям обучения и воспитания. Применение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кроссвордов способствует развитию интереса к предмету, позволяет в занимательной форме повторить и закрепить изученный материал, развивает у обучающихся сообразительность, помогает запомнить правильное написание терминов, учит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работать с учебной и справочной литературой </w:t>
      </w:r>
      <w:r>
        <w:rPr>
          <w:rFonts w:ascii="Times New Roman" w:hAnsi="Times New Roman" w:cs="Times New Roman" w:eastAsia="Times New Roman"/>
        </w:rPr>
        <w:t xml:space="preserve">[1]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left"/>
        <w:rPr>
          <w:rFonts w:ascii="Times New Roman" w:hAnsi="Times New Roman" w:cs="Times New Roman" w:eastAsia="Times New Roman"/>
          <w:color w:val="1E4F79"/>
          <w:sz w:val="40"/>
        </w:rPr>
      </w:pPr>
      <w:r>
        <w:rPr>
          <w:rFonts w:ascii="Times New Roman" w:hAnsi="Times New Roman" w:cs="Times New Roman" w:eastAsia="Times New Roman"/>
          <w:color w:val="1E4F79"/>
          <w:sz w:val="40"/>
        </w:rPr>
      </w:r>
      <w:r>
        <w:rPr>
          <w:rFonts w:ascii="Times New Roman" w:hAnsi="Times New Roman" w:cs="Times New Roman" w:eastAsia="Times New Roman"/>
          <w:color w:val="1E4F79"/>
          <w:sz w:val="40"/>
        </w:rPr>
      </w:r>
      <w:r/>
    </w:p>
    <w:p>
      <w:pPr>
        <w:jc w:val="left"/>
        <w:rPr>
          <w:rFonts w:ascii="Times New Roman" w:hAnsi="Times New Roman" w:cs="Times New Roman" w:eastAsia="Times New Roman"/>
          <w:color w:val="1E4F79"/>
          <w:sz w:val="40"/>
        </w:rPr>
      </w:pPr>
      <w:r>
        <w:rPr>
          <w:rFonts w:ascii="Times New Roman" w:hAnsi="Times New Roman" w:cs="Times New Roman" w:eastAsia="Times New Roman"/>
          <w:color w:val="1E4F79" w:themeColor="accent1" w:themeShade="80"/>
          <w:sz w:val="40"/>
          <w:highlight w:val="none"/>
        </w:rPr>
      </w:r>
      <w:r>
        <w:rPr>
          <w:rFonts w:ascii="Times New Roman" w:hAnsi="Times New Roman" w:cs="Times New Roman" w:eastAsia="Times New Roman"/>
          <w:color w:val="1E4F79" w:themeColor="accent1" w:themeShade="80"/>
          <w:sz w:val="40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</w:rPr>
        <w:t xml:space="preserve">Кроссворд «Русская АРКТИКА»</w:t>
      </w:r>
      <w:r>
        <w:rPr>
          <w:color w:val="auto"/>
          <w:sz w:val="1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1E4F79"/>
          <w:sz w:val="40"/>
          <w:highlight w:val="none"/>
        </w:rPr>
      </w:pPr>
      <w:r>
        <w:rPr>
          <w:rFonts w:ascii="Times New Roman" w:hAnsi="Times New Roman" w:cs="Times New Roman" w:eastAsia="Times New Roman"/>
          <w:color w:val="1E4F79" w:themeColor="accent1" w:themeShade="80"/>
          <w:sz w:val="40"/>
          <w:highlight w:val="none"/>
        </w:rPr>
      </w:r>
      <w:r>
        <w:rPr>
          <w:rFonts w:ascii="Times New Roman" w:hAnsi="Times New Roman" w:cs="Times New Roman" w:eastAsia="Times New Roman"/>
          <w:color w:val="1E4F79" w:themeColor="accent1" w:themeShade="80"/>
          <w:sz w:val="40"/>
          <w:highlight w:val="none"/>
        </w:rPr>
      </w:r>
      <w:r/>
    </w:p>
    <w:tbl>
      <w:tblPr>
        <w:tblStyle w:val="684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>
        <w:trPr>
          <w:trHeight w:val="409"/>
        </w:trPr>
        <w:tc>
          <w:tcPr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W w:w="103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10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tcW w:w="5203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6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108" w:type="dxa"/>
            <w:textDirection w:val="lrTb"/>
            <w:noWrap w:val="false"/>
          </w:tcPr>
          <w:p>
            <w:pPr>
              <w:shd w:val="nil" w:color="000000"/>
            </w:pPr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5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2653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7"/>
            <w:tcBorders>
              <w:top w:val="single" w:color="FFFFFF" w:themeColor="background1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62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416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7"/>
            <w:tcBorders>
              <w:top w:val="single" w:color="FFFFFF" w:themeColor="background1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6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108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W w:w="159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7"/>
            <w:tcBorders>
              <w:top w:val="single" w:color="FFFFFF" w:themeColor="background1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6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419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left w:val="single" w:color="000000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5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2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single" w:color="FFFFFF" w:themeColor="background1" w:sz="4" w:space="0"/>
            </w:tcBorders>
            <w:tcW w:w="15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108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single" w:color="FFFFFF" w:themeColor="background1" w:sz="4" w:space="0"/>
            </w:tcBorders>
            <w:tcW w:w="159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</w:tcBorders>
            <w:tcW w:w="107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209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103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16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3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</w:tcBorders>
            <w:tcW w:w="55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FFFFFF" w:themeColor="background1" w:sz="4" w:space="0"/>
            </w:tcBorders>
            <w:tcW w:w="210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W w:w="103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W w:w="155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FFFFFF" w:themeColor="background1" w:sz="4" w:space="0"/>
            </w:tcBorders>
            <w:tcW w:w="162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16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210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left"/>
        <w:rPr>
          <w:rFonts w:ascii="Times New Roman" w:hAnsi="Times New Roman" w:cs="Times New Roman" w:eastAsia="Times New Roman"/>
          <w:color w:val="auto"/>
          <w:sz w:val="48"/>
        </w:rPr>
      </w:pPr>
      <w:r>
        <w:rPr>
          <w:rFonts w:ascii="Times New Roman" w:hAnsi="Times New Roman" w:cs="Times New Roman" w:eastAsia="Times New Roman"/>
          <w:color w:val="auto"/>
          <w:sz w:val="48"/>
        </w:rPr>
      </w:r>
      <w:r>
        <w:rPr>
          <w:rFonts w:ascii="Times New Roman" w:hAnsi="Times New Roman" w:cs="Times New Roman" w:eastAsia="Times New Roman"/>
          <w:color w:val="auto"/>
          <w:sz w:val="48"/>
        </w:rPr>
      </w:r>
      <w:r/>
    </w:p>
    <w:p>
      <w:pPr>
        <w:jc w:val="left"/>
        <w:rPr>
          <w:rFonts w:ascii="Times New Roman" w:hAnsi="Times New Roman" w:cs="Times New Roman" w:eastAsia="Times New Roman"/>
          <w:color w:val="auto"/>
          <w:sz w:val="48"/>
        </w:rPr>
      </w:pPr>
      <w:r>
        <w:rPr>
          <w:rFonts w:ascii="Times New Roman" w:hAnsi="Times New Roman" w:cs="Times New Roman" w:eastAsia="Times New Roman"/>
          <w:color w:val="auto"/>
          <w:sz w:val="48"/>
        </w:rPr>
      </w:r>
      <w:r>
        <w:rPr>
          <w:rFonts w:ascii="Times New Roman" w:hAnsi="Times New Roman" w:cs="Times New Roman" w:eastAsia="Times New Roman"/>
          <w:color w:val="auto"/>
          <w:sz w:val="48"/>
        </w:rPr>
      </w:r>
      <w:r/>
    </w:p>
    <w:p>
      <w:pPr>
        <w:jc w:val="left"/>
        <w:rPr>
          <w:rFonts w:ascii="Times New Roman" w:hAnsi="Times New Roman" w:cs="Times New Roman" w:eastAsia="Times New Roman"/>
          <w:color w:val="1E4F79"/>
          <w:sz w:val="32"/>
        </w:rPr>
      </w:pPr>
      <w:r>
        <w:rPr>
          <w:rFonts w:ascii="Times New Roman" w:hAnsi="Times New Roman" w:cs="Times New Roman" w:eastAsia="Times New Roman"/>
          <w:color w:val="1E4F79"/>
          <w:sz w:val="32"/>
        </w:rPr>
      </w:r>
      <w:r>
        <w:rPr>
          <w:rFonts w:ascii="Times New Roman" w:hAnsi="Times New Roman" w:cs="Times New Roman" w:eastAsia="Times New Roman"/>
          <w:color w:val="1E4F79"/>
          <w:sz w:val="32"/>
        </w:rPr>
      </w:r>
      <w:r/>
    </w:p>
    <w:tbl>
      <w:tblPr>
        <w:tblStyle w:val="68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23"/>
        <w:gridCol w:w="518"/>
        <w:gridCol w:w="518"/>
        <w:gridCol w:w="518"/>
        <w:gridCol w:w="542"/>
        <w:gridCol w:w="542"/>
        <w:gridCol w:w="590"/>
        <w:gridCol w:w="518"/>
        <w:gridCol w:w="518"/>
        <w:gridCol w:w="566"/>
        <w:gridCol w:w="518"/>
        <w:gridCol w:w="518"/>
        <w:gridCol w:w="518"/>
        <w:gridCol w:w="558"/>
        <w:gridCol w:w="520"/>
        <w:gridCol w:w="591"/>
        <w:gridCol w:w="518"/>
        <w:gridCol w:w="518"/>
        <w:gridCol w:w="518"/>
        <w:gridCol w:w="518"/>
        <w:gridCol w:w="518"/>
        <w:gridCol w:w="518"/>
      </w:tblGrid>
      <w:tr>
        <w:trPr>
          <w:trHeight w:val="409"/>
        </w:trPr>
        <w:tc>
          <w:tcPr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W w:w="104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10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tcW w:w="534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5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6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108" w:type="dxa"/>
            <w:textDirection w:val="lrTb"/>
            <w:noWrap w:val="false"/>
          </w:tcPr>
          <w:p>
            <w:pPr>
              <w:shd w:val="nil" w:color="000000"/>
            </w:pPr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 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5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267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7"/>
            <w:tcBorders>
              <w:top w:val="single" w:color="FFFFFF" w:themeColor="background1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69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431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5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7"/>
            <w:tcBorders>
              <w:top w:val="single" w:color="FFFFFF" w:themeColor="background1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69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108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W w:w="159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7"/>
            <w:tcBorders>
              <w:top w:val="single" w:color="FFFFFF" w:themeColor="background1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369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431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bottom w:val="single" w:color="FFFFFF" w:themeColor="background1" w:sz="4" w:space="0"/>
            </w:tcBorders>
            <w:tcW w:w="15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left w:val="single" w:color="000000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б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5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5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2663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single" w:color="FFFFFF" w:themeColor="background1" w:sz="4" w:space="0"/>
            </w:tcBorders>
            <w:tcW w:w="167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108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single" w:color="FFFFFF" w:themeColor="background1" w:sz="4" w:space="0"/>
            </w:tcBorders>
            <w:tcW w:w="159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W w:w="16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10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15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</w:tcBorders>
            <w:tcW w:w="111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W w:w="16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10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15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</w:tcBorders>
            <w:tcW w:w="111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3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right w:val="single" w:color="FFFFFF" w:themeColor="background1" w:sz="4" w:space="0"/>
            </w:tcBorders>
            <w:tcW w:w="10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5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W w:w="111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</w:tcBorders>
            <w:tcW w:w="104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212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</w:tcBorders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right w:val="single" w:color="FFFFFF" w:themeColor="background1" w:sz="4" w:space="0"/>
            </w:tcBorders>
            <w:tcW w:w="10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FFFFFF" w:themeColor="background1" w:sz="4" w:space="0"/>
            </w:tcBorders>
            <w:tcW w:w="15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</w:tcBorders>
            <w:tcW w:w="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103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4" w:space="0"/>
            </w:tcBorders>
            <w:tcW w:w="21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</w:tcBorders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5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single" w:color="FFFFFF" w:themeColor="background1" w:sz="4" w:space="0"/>
            </w:tcBorders>
            <w:tcW w:w="103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21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</w:tcBorders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16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3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FFFFFF" w:themeColor="background1" w:sz="4" w:space="0"/>
            </w:tcBorders>
            <w:tcW w:w="55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FFFFFF" w:themeColor="background1" w:sz="4" w:space="0"/>
            </w:tcBorders>
            <w:tcW w:w="214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W w:w="103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ц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right w:val="single" w:color="FFFFFF" w:themeColor="background1" w:sz="4" w:space="0"/>
            </w:tcBorders>
            <w:tcW w:w="103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</w:tcBorders>
            <w:tcW w:w="55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21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W w:w="155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03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FFFFFF" w:themeColor="background1" w:sz="4" w:space="0"/>
            </w:tcBorders>
            <w:tcW w:w="167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right w:val="single" w:color="FFFFFF" w:themeColor="background1" w:sz="4" w:space="0"/>
            </w:tcBorders>
            <w:tcW w:w="16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left w:val="single" w:color="FFFFFF" w:themeColor="background1" w:sz="4" w:space="0"/>
            </w:tcBorders>
            <w:tcW w:w="103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5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W w:w="155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9"/>
        </w:trPr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10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5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103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W w:w="16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1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W w:w="160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103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W w:w="55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2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214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1554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1E4F79"/>
        </w:rPr>
      </w:pPr>
      <w:r>
        <w:rPr>
          <w:rFonts w:ascii="Times New Roman" w:hAnsi="Times New Roman" w:cs="Times New Roman" w:eastAsia="Times New Roman"/>
          <w:color w:val="1E4F79"/>
        </w:rPr>
      </w:r>
      <w:r>
        <w:rPr>
          <w:rFonts w:ascii="Times New Roman" w:hAnsi="Times New Roman" w:cs="Times New Roman" w:eastAsia="Times New Roman"/>
          <w:color w:val="1E4F79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1E4F79"/>
        </w:rPr>
      </w:pPr>
      <w:r>
        <w:rPr>
          <w:rFonts w:ascii="Times New Roman" w:hAnsi="Times New Roman" w:cs="Times New Roman" w:eastAsia="Times New Roman"/>
          <w:color w:val="1E4F79" w:themeColor="accent1" w:themeShade="80"/>
          <w:sz w:val="52"/>
        </w:rPr>
      </w:r>
      <w:r>
        <w:rPr>
          <w:rFonts w:ascii="Times New Roman" w:hAnsi="Times New Roman" w:cs="Times New Roman" w:eastAsia="Times New Roman"/>
          <w:color w:val="1E4F79" w:themeColor="accent1" w:themeShade="80"/>
          <w:sz w:val="52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1E4F79" w:themeColor="accent1" w:themeShade="8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1E4F79" w:themeColor="accent1" w:themeShade="80"/>
          <w:sz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1E4F79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1E4F79" w:themeColor="accent1" w:themeShade="8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1E4F79" w:themeColor="accent1" w:themeShade="80"/>
          <w:sz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Вопросы кроссворда</w:t>
      </w:r>
      <w:r>
        <w:rPr>
          <w:color w:val="auto"/>
          <w:sz w:val="20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По горизонтали: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Редкая птица Арктики, занесена в Красную книгу.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Этот пароход был раздавлен льдами 13 февраля 1934 года, в результате чего ушел на дно. Как назывался пароход?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Эти обитатели арктических морей имеют прозвище «морские канарейки».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Судно какого типа впервые было создано русским полярным исследователем и военным деятелем С. Макаровым?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Моржи воспринимают окружающий мир через усы. Как по-другому называются эти усы?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 Арктике находится 20 % мирового запаса этого богатства.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Кем были участники полярной экспедиции 1942 года на архипелаг Новая Земля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, организованной с целью сбора птичьих яиц?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Животное – символ национального парка «Русская Арктика». Имеет прозвище «морской единорог».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Богатство Ямала – природный газ. Чем является Ямал?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 1937 году в СССР была организована первая дрейфующая научная .....?..... «Северный полюс»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Ледокольный пароход «Георгий Седов» был зажат льдами у Новосибирских островов на 812 дней с 23 октября 1937 года по 13 января 1940 года. Как называется это явление?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Вид арктического тюленя.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По вертикали: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 2014 году Россия впервые в мире начала добычу этого полезного ископаемого с шельфового месторождения в Арктике.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Этот ученый в 2017 году возглавлял научно-исследовательскую экспедицию, которая спустилась на дно океана под Северным полюсом.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Какой предмет опустили на дно океана в точке Северного полюса члены советской экспедиции 1977 года, поместив в него текст гимна и проект конституции СССР?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Как называется аппарат, с помощью которого осенью 2022 года на острове Врангеля прошла «Беломедвежья перепись» с целью подсчета числа белых медведей?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Этот путешественник вместе с напарником Иваном Меняйло в марте 2023 года установили мировой рекорд по дальности беспосадочного перелёта на тепловом воздушном шаре.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 XII-XIII веках этот народ исследовал острова Вайгач, Новую Землю, а в конце XV века - острова архипелага Шпицберген и остров Медвежий в Баренцевом море.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 2019 году российский путешественник Леонид Круглов снял документальный фильм «Великий северный путь», повторив и отразив в фильме маршрут этого первооткрывателя и первопроходца. О каком человеке идет речь?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Животное – символ и хозяин Арктики.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 1728 году Витус Беринг подтвердил его наличие между Чукоткой и Аляской.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center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ОТВЕТЫ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По горизонтали: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Чайка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Челюскин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Калан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Ледокол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Вибриссы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Вода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Школьники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Нарвал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Полуостров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Станция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Дрейф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Хохлач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По вертикали: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Нефть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Чилингаров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Капсула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Беспилотник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Конюхов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Поморы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Дежнев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Медведь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7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Пролив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center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center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ind w:left="720" w:firstLine="0"/>
        <w:jc w:val="center"/>
        <w:rPr>
          <w:rFonts w:ascii="Times New Roman" w:hAnsi="Times New Roman" w:cs="Times New Roman" w:eastAsia="Times New Roman"/>
          <w:color w:val="auto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Источники: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9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Емельянова, Т.В. Игровые технологии в образовании : электронное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учеб.-метод. пособие / Т.В. Емельянова, Г.А. Медяник. – Тольятти :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Изд-во ТГУ, 2015.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9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Статьи, посвященные Арктике на сайте  </w:t>
      </w:r>
      <w:hyperlink r:id="rId9" w:tooltip="https://rgo.ru/?ysclid=lvjluvaar297463112" w:history="1">
        <w:r>
          <w:rPr>
            <w:rStyle w:val="810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Русское географическое общество - Официальный сайт (rgo.ru)</w:t>
        </w:r>
      </w:hyperlink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p>
      <w:pPr>
        <w:pStyle w:val="832"/>
        <w:numPr>
          <w:ilvl w:val="0"/>
          <w:numId w:val="9"/>
        </w:numPr>
        <w:ind w:left="720" w:firstLine="0"/>
        <w:jc w:val="both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Статьи, посвященные Арктике в сообществе Вконтакте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hyperlink r:id="rId10" w:tooltip="https://vk.com/polarmuseum?ysclid=lvjlwc5klf193589276" w:history="1">
        <w:r>
          <w:rPr>
            <w:rStyle w:val="810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Сообщество «Музей Арктики и Антарктики» ВКонтакте — публичная страница, Санкт-Петербург (vk.com)</w:t>
        </w:r>
      </w:hyperlink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No Spacing"/>
    <w:basedOn w:val="828"/>
    <w:uiPriority w:val="1"/>
    <w:qFormat/>
    <w:pPr>
      <w:spacing w:after="0" w:line="240" w:lineRule="auto"/>
    </w:pPr>
  </w:style>
  <w:style w:type="paragraph" w:styleId="832">
    <w:name w:val="List Paragraph"/>
    <w:basedOn w:val="828"/>
    <w:uiPriority w:val="34"/>
    <w:qFormat/>
    <w:pPr>
      <w:contextualSpacing/>
      <w:ind w:left="720"/>
    </w:pPr>
  </w:style>
  <w:style w:type="character" w:styleId="83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go.ru/?ysclid=lvjluvaar297463112" TargetMode="External"/><Relationship Id="rId10" Type="http://schemas.openxmlformats.org/officeDocument/2006/relationships/hyperlink" Target="https://vk.com/polarmuseum?ysclid=lvjlwc5klf19358927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2024-05-02T08:58:24Z</dcterms:modified>
</cp:coreProperties>
</file>