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CF" w:rsidRDefault="00DA50CF" w:rsidP="00DA50C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50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3810</wp:posOffset>
            </wp:positionV>
            <wp:extent cx="1805024" cy="2254250"/>
            <wp:effectExtent l="0" t="0" r="5080" b="0"/>
            <wp:wrapTight wrapText="bothSides">
              <wp:wrapPolygon edited="0">
                <wp:start x="0" y="0"/>
                <wp:lineTo x="0" y="21357"/>
                <wp:lineTo x="21433" y="21357"/>
                <wp:lineTo x="21433" y="0"/>
                <wp:lineTo x="0" y="0"/>
              </wp:wrapPolygon>
            </wp:wrapTight>
            <wp:docPr id="6" name="Рисунок 6" descr="C:\1\Desktop\АА\Фото\ресторан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\Desktop\АА\Фото\ресторан\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24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8CC" w:rsidRPr="005E564B">
        <w:rPr>
          <w:rFonts w:ascii="Times New Roman" w:hAnsi="Times New Roman" w:cs="Times New Roman"/>
          <w:sz w:val="24"/>
          <w:szCs w:val="24"/>
        </w:rPr>
        <w:t>Матвеева Анна Александровна</w:t>
      </w:r>
    </w:p>
    <w:p w:rsidR="004518CC" w:rsidRDefault="009040B7" w:rsidP="00DA50C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8CC" w:rsidRPr="005E564B">
        <w:rPr>
          <w:rFonts w:ascii="Times New Roman" w:hAnsi="Times New Roman" w:cs="Times New Roman"/>
          <w:sz w:val="24"/>
          <w:szCs w:val="24"/>
        </w:rPr>
        <w:t>МАДОУ №86</w:t>
      </w:r>
    </w:p>
    <w:p w:rsidR="00DA50CF" w:rsidRDefault="00DA50CF" w:rsidP="00DA50C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высшей квалификационной категории</w:t>
      </w:r>
    </w:p>
    <w:p w:rsidR="00DA50CF" w:rsidRDefault="00DA50CF" w:rsidP="005E564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A50CF" w:rsidRDefault="00DA50CF" w:rsidP="00DA50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A50CF" w:rsidRDefault="00DA50CF" w:rsidP="00DA50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A50CF" w:rsidRDefault="00DA50CF" w:rsidP="00DA50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A50CF" w:rsidRDefault="00DA50CF" w:rsidP="00DA50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A50CF" w:rsidRDefault="00DA50CF" w:rsidP="00DA50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A50CF" w:rsidRDefault="00DA50CF" w:rsidP="00DA50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A50CF" w:rsidRDefault="00DA50CF" w:rsidP="00DA50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A50CF" w:rsidRDefault="00DA50CF" w:rsidP="00DA50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A50CF" w:rsidRDefault="00DA50CF" w:rsidP="00DA50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A50CF" w:rsidRPr="005E564B" w:rsidRDefault="00DA50CF" w:rsidP="00DA50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Коммуникативная открытость как результативно-оценочный компонент взаимодействия ДОУ и семьи.</w:t>
      </w:r>
    </w:p>
    <w:p w:rsidR="00A8475D" w:rsidRPr="005E564B" w:rsidRDefault="00426C8A" w:rsidP="005E56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Рассмотрение различных методологических подходов к пониманию открытости образовательного процесса иллюстрирует сложность и многомерность этого явления</w:t>
      </w:r>
      <w:r w:rsidR="00A8475D" w:rsidRPr="005E564B">
        <w:rPr>
          <w:rFonts w:ascii="Times New Roman" w:hAnsi="Times New Roman" w:cs="Times New Roman"/>
          <w:sz w:val="24"/>
          <w:szCs w:val="24"/>
        </w:rPr>
        <w:t xml:space="preserve"> [</w:t>
      </w:r>
      <w:r w:rsidR="00FD2B92" w:rsidRPr="005E564B">
        <w:rPr>
          <w:rFonts w:ascii="Times New Roman" w:hAnsi="Times New Roman" w:cs="Times New Roman"/>
          <w:sz w:val="24"/>
          <w:szCs w:val="24"/>
        </w:rPr>
        <w:t>1</w:t>
      </w:r>
      <w:r w:rsidR="00A8475D" w:rsidRPr="005E564B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A4783D" w:rsidRPr="005E564B" w:rsidRDefault="00A4783D" w:rsidP="005E564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3260"/>
        <w:gridCol w:w="2268"/>
      </w:tblGrid>
      <w:tr w:rsidR="004518CC" w:rsidRPr="005E564B" w:rsidTr="004B789B">
        <w:trPr>
          <w:cantSplit/>
          <w:trHeight w:val="1134"/>
        </w:trPr>
        <w:tc>
          <w:tcPr>
            <w:tcW w:w="1271" w:type="dxa"/>
          </w:tcPr>
          <w:p w:rsidR="004B789B" w:rsidRDefault="004518CC" w:rsidP="005E56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</w:p>
          <w:p w:rsidR="004518CC" w:rsidRPr="005E564B" w:rsidRDefault="004518CC" w:rsidP="004B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дологический подход</w:t>
            </w:r>
          </w:p>
        </w:tc>
        <w:tc>
          <w:tcPr>
            <w:tcW w:w="3402" w:type="dxa"/>
          </w:tcPr>
          <w:p w:rsidR="004518CC" w:rsidRPr="005E564B" w:rsidRDefault="004518CC" w:rsidP="005E56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Показатель открытости ОО</w:t>
            </w:r>
          </w:p>
        </w:tc>
        <w:tc>
          <w:tcPr>
            <w:tcW w:w="3260" w:type="dxa"/>
          </w:tcPr>
          <w:p w:rsidR="004518CC" w:rsidRPr="005E564B" w:rsidRDefault="004518CC" w:rsidP="005E56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 открытости</w:t>
            </w:r>
            <w:r w:rsidR="00FD2B92"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268" w:type="dxa"/>
          </w:tcPr>
          <w:p w:rsidR="004518CC" w:rsidRPr="005E564B" w:rsidRDefault="004518CC" w:rsidP="005E56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Значение для образовательного процесса</w:t>
            </w:r>
          </w:p>
        </w:tc>
      </w:tr>
      <w:tr w:rsidR="004518CC" w:rsidRPr="005E564B" w:rsidTr="004B789B">
        <w:trPr>
          <w:cantSplit/>
          <w:trHeight w:val="1134"/>
        </w:trPr>
        <w:tc>
          <w:tcPr>
            <w:tcW w:w="1271" w:type="dxa"/>
            <w:textDirection w:val="btLr"/>
          </w:tcPr>
          <w:p w:rsidR="004518CC" w:rsidRPr="005E564B" w:rsidRDefault="00335014" w:rsidP="005E56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518CC" w:rsidRPr="005E564B">
              <w:rPr>
                <w:rFonts w:ascii="Times New Roman" w:hAnsi="Times New Roman" w:cs="Times New Roman"/>
                <w:sz w:val="24"/>
                <w:szCs w:val="24"/>
              </w:rPr>
              <w:t>Системный подход</w:t>
            </w:r>
          </w:p>
        </w:tc>
        <w:tc>
          <w:tcPr>
            <w:tcW w:w="3402" w:type="dxa"/>
          </w:tcPr>
          <w:p w:rsidR="004518CC" w:rsidRPr="005E564B" w:rsidRDefault="004518CC" w:rsidP="005E56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Комплексность взаимодействия со средой/субъектами среды и динамика развития системы (образовательного процесса) </w:t>
            </w:r>
          </w:p>
        </w:tc>
        <w:tc>
          <w:tcPr>
            <w:tcW w:w="3260" w:type="dxa"/>
          </w:tcPr>
          <w:p w:rsidR="004518CC" w:rsidRPr="005E564B" w:rsidRDefault="004518CC" w:rsidP="005E56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Наличие постоянного информационного обмена со средой/субъектами среды</w:t>
            </w:r>
          </w:p>
        </w:tc>
        <w:tc>
          <w:tcPr>
            <w:tcW w:w="2268" w:type="dxa"/>
          </w:tcPr>
          <w:p w:rsidR="004518CC" w:rsidRPr="005E564B" w:rsidRDefault="004518CC" w:rsidP="0050554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Постоянный учет актуальных изменений среды / субъектов среды</w:t>
            </w:r>
          </w:p>
        </w:tc>
      </w:tr>
      <w:tr w:rsidR="004518CC" w:rsidRPr="005E564B" w:rsidTr="004B789B">
        <w:trPr>
          <w:cantSplit/>
          <w:trHeight w:val="1134"/>
        </w:trPr>
        <w:tc>
          <w:tcPr>
            <w:tcW w:w="1271" w:type="dxa"/>
            <w:textDirection w:val="btLr"/>
          </w:tcPr>
          <w:p w:rsidR="004518CC" w:rsidRPr="005E564B" w:rsidRDefault="004518CC" w:rsidP="005E56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Синергетический подход</w:t>
            </w:r>
          </w:p>
        </w:tc>
        <w:tc>
          <w:tcPr>
            <w:tcW w:w="3402" w:type="dxa"/>
          </w:tcPr>
          <w:p w:rsidR="004518CC" w:rsidRPr="005E564B" w:rsidRDefault="004518CC" w:rsidP="005E56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Многовариантность, альтернативность форм, обеспечивающих открытость системы (образовательного процесса)</w:t>
            </w:r>
          </w:p>
        </w:tc>
        <w:tc>
          <w:tcPr>
            <w:tcW w:w="3260" w:type="dxa"/>
          </w:tcPr>
          <w:p w:rsidR="004518CC" w:rsidRPr="005E564B" w:rsidRDefault="004518CC" w:rsidP="005E56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Наличие разнообразных источников и ресурсов для реализации форм</w:t>
            </w:r>
          </w:p>
        </w:tc>
        <w:tc>
          <w:tcPr>
            <w:tcW w:w="2268" w:type="dxa"/>
          </w:tcPr>
          <w:p w:rsidR="004518CC" w:rsidRPr="005E564B" w:rsidRDefault="004518CC" w:rsidP="005E56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Невозможность прямого воздействия на среду и необходимость конструктивного взаимодействия со средой/субъектами среды</w:t>
            </w:r>
          </w:p>
        </w:tc>
      </w:tr>
      <w:tr w:rsidR="004518CC" w:rsidRPr="005E564B" w:rsidTr="004B789B">
        <w:trPr>
          <w:cantSplit/>
          <w:trHeight w:val="1134"/>
        </w:trPr>
        <w:tc>
          <w:tcPr>
            <w:tcW w:w="1271" w:type="dxa"/>
            <w:textDirection w:val="btLr"/>
          </w:tcPr>
          <w:p w:rsidR="004518CC" w:rsidRPr="005E564B" w:rsidRDefault="004518CC" w:rsidP="005E56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Антропологический</w:t>
            </w:r>
            <w:r w:rsidR="00125B65"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      подход</w:t>
            </w:r>
          </w:p>
        </w:tc>
        <w:tc>
          <w:tcPr>
            <w:tcW w:w="3402" w:type="dxa"/>
          </w:tcPr>
          <w:p w:rsidR="004518CC" w:rsidRPr="005E564B" w:rsidRDefault="004518CC" w:rsidP="0050554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Учёт личного опыта каждого субъекта обр</w:t>
            </w:r>
            <w:r w:rsidR="00505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его рефлексии; возможность для каждого различной жизненной перспективы в зависимости от исторически обусловленной и индивидуальной ситуации. </w:t>
            </w:r>
          </w:p>
        </w:tc>
        <w:tc>
          <w:tcPr>
            <w:tcW w:w="3260" w:type="dxa"/>
          </w:tcPr>
          <w:p w:rsidR="004518CC" w:rsidRPr="005E564B" w:rsidRDefault="004518CC" w:rsidP="005E56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Постоянная незавершенность открытости образовательного процесса; способность воспринимать, принимать и реагировать на внешние воздействия среды/ субъектов среды</w:t>
            </w:r>
          </w:p>
        </w:tc>
        <w:tc>
          <w:tcPr>
            <w:tcW w:w="2268" w:type="dxa"/>
          </w:tcPr>
          <w:p w:rsidR="004518CC" w:rsidRPr="005E564B" w:rsidRDefault="004518CC" w:rsidP="0050554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Возможность индивидуального протекания обр</w:t>
            </w:r>
            <w:r w:rsidR="00505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отсутствие жёсткого руководства.</w:t>
            </w:r>
          </w:p>
        </w:tc>
      </w:tr>
      <w:tr w:rsidR="004518CC" w:rsidRPr="005E564B" w:rsidTr="004B789B">
        <w:trPr>
          <w:cantSplit/>
          <w:trHeight w:val="1134"/>
        </w:trPr>
        <w:tc>
          <w:tcPr>
            <w:tcW w:w="1271" w:type="dxa"/>
            <w:textDirection w:val="btLr"/>
          </w:tcPr>
          <w:p w:rsidR="004518CC" w:rsidRPr="005E564B" w:rsidRDefault="004518CC" w:rsidP="005E56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Теория открытого общества</w:t>
            </w:r>
          </w:p>
        </w:tc>
        <w:tc>
          <w:tcPr>
            <w:tcW w:w="3402" w:type="dxa"/>
          </w:tcPr>
          <w:p w:rsidR="004518CC" w:rsidRPr="005E564B" w:rsidRDefault="004518CC" w:rsidP="005E56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Гибкость, высокая социальная мобильность, ценность социальных институтов и наличие возможности для их изменения.</w:t>
            </w:r>
          </w:p>
        </w:tc>
        <w:tc>
          <w:tcPr>
            <w:tcW w:w="3260" w:type="dxa"/>
          </w:tcPr>
          <w:p w:rsidR="004518CC" w:rsidRPr="005E564B" w:rsidRDefault="004518CC" w:rsidP="005E56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Сознательное признание социального института продуктом человеческого творчества и возможность его изменения для достижения запросов среды/ субъектов среды.</w:t>
            </w:r>
          </w:p>
        </w:tc>
        <w:tc>
          <w:tcPr>
            <w:tcW w:w="2268" w:type="dxa"/>
          </w:tcPr>
          <w:p w:rsidR="004518CC" w:rsidRPr="005E564B" w:rsidRDefault="004518CC" w:rsidP="005E56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Сотворчество и кооперация со средой/субъектами среды, формирование критичного мышления.</w:t>
            </w:r>
          </w:p>
        </w:tc>
      </w:tr>
    </w:tbl>
    <w:p w:rsidR="00426C8A" w:rsidRPr="005E564B" w:rsidRDefault="00F65324" w:rsidP="005E56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131EC" w:rsidRPr="005E564B">
        <w:rPr>
          <w:rFonts w:ascii="Times New Roman" w:hAnsi="Times New Roman" w:cs="Times New Roman"/>
          <w:sz w:val="24"/>
          <w:szCs w:val="24"/>
        </w:rPr>
        <w:t xml:space="preserve">ткрытость </w:t>
      </w:r>
      <w:r w:rsidRPr="005E564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131EC" w:rsidRPr="005E564B">
        <w:rPr>
          <w:rFonts w:ascii="Times New Roman" w:hAnsi="Times New Roman" w:cs="Times New Roman"/>
          <w:sz w:val="24"/>
          <w:szCs w:val="24"/>
        </w:rPr>
        <w:t>направлена не только на внешнюю среду,</w:t>
      </w:r>
      <w:r w:rsidR="00A76AC0" w:rsidRPr="005E564B">
        <w:rPr>
          <w:rFonts w:ascii="Times New Roman" w:hAnsi="Times New Roman" w:cs="Times New Roman"/>
          <w:sz w:val="24"/>
          <w:szCs w:val="24"/>
        </w:rPr>
        <w:t xml:space="preserve"> когда под воздействием образования меняется окружающий мир. </w:t>
      </w:r>
      <w:r w:rsidRPr="005E564B">
        <w:rPr>
          <w:rFonts w:ascii="Times New Roman" w:hAnsi="Times New Roman" w:cs="Times New Roman"/>
          <w:sz w:val="24"/>
          <w:szCs w:val="24"/>
        </w:rPr>
        <w:t>Необходимо говорить об о</w:t>
      </w:r>
      <w:r w:rsidR="00A76AC0" w:rsidRPr="005E564B">
        <w:rPr>
          <w:rFonts w:ascii="Times New Roman" w:hAnsi="Times New Roman" w:cs="Times New Roman"/>
          <w:sz w:val="24"/>
          <w:szCs w:val="24"/>
        </w:rPr>
        <w:t>братн</w:t>
      </w:r>
      <w:r w:rsidRPr="005E564B">
        <w:rPr>
          <w:rFonts w:ascii="Times New Roman" w:hAnsi="Times New Roman" w:cs="Times New Roman"/>
          <w:sz w:val="24"/>
          <w:szCs w:val="24"/>
        </w:rPr>
        <w:t>ой открытости, что</w:t>
      </w:r>
      <w:r w:rsidR="00A76AC0" w:rsidRPr="005E564B">
        <w:rPr>
          <w:rFonts w:ascii="Times New Roman" w:hAnsi="Times New Roman" w:cs="Times New Roman"/>
          <w:sz w:val="24"/>
          <w:szCs w:val="24"/>
        </w:rPr>
        <w:t xml:space="preserve"> </w:t>
      </w:r>
      <w:r w:rsidRPr="005E564B">
        <w:rPr>
          <w:rFonts w:ascii="Times New Roman" w:hAnsi="Times New Roman" w:cs="Times New Roman"/>
          <w:sz w:val="24"/>
          <w:szCs w:val="24"/>
        </w:rPr>
        <w:t>означает</w:t>
      </w:r>
      <w:r w:rsidR="00A76AC0" w:rsidRPr="005E564B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Pr="005E564B">
        <w:rPr>
          <w:rFonts w:ascii="Times New Roman" w:hAnsi="Times New Roman" w:cs="Times New Roman"/>
          <w:sz w:val="24"/>
          <w:szCs w:val="24"/>
        </w:rPr>
        <w:t>ь</w:t>
      </w:r>
      <w:r w:rsidR="001131EC" w:rsidRPr="005E564B">
        <w:rPr>
          <w:rFonts w:ascii="Times New Roman" w:hAnsi="Times New Roman" w:cs="Times New Roman"/>
          <w:sz w:val="24"/>
          <w:szCs w:val="24"/>
        </w:rPr>
        <w:t xml:space="preserve"> «внутрь»</w:t>
      </w:r>
      <w:r w:rsidR="00A76AC0" w:rsidRPr="005E564B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который должен быть открыт </w:t>
      </w:r>
      <w:r w:rsidR="0050554D">
        <w:rPr>
          <w:rFonts w:ascii="Times New Roman" w:hAnsi="Times New Roman" w:cs="Times New Roman"/>
          <w:sz w:val="24"/>
          <w:szCs w:val="24"/>
        </w:rPr>
        <w:t>среде/субъектам среды</w:t>
      </w:r>
      <w:r w:rsidR="00FD2B92" w:rsidRPr="005E564B">
        <w:rPr>
          <w:rFonts w:ascii="Times New Roman" w:hAnsi="Times New Roman" w:cs="Times New Roman"/>
          <w:sz w:val="24"/>
          <w:szCs w:val="24"/>
        </w:rPr>
        <w:t xml:space="preserve"> (</w:t>
      </w:r>
      <w:r w:rsidR="0050554D">
        <w:rPr>
          <w:rFonts w:ascii="Times New Roman" w:hAnsi="Times New Roman" w:cs="Times New Roman"/>
          <w:sz w:val="24"/>
          <w:szCs w:val="24"/>
        </w:rPr>
        <w:t>их</w:t>
      </w:r>
      <w:r w:rsidR="00FD2B92" w:rsidRPr="005E564B">
        <w:rPr>
          <w:rFonts w:ascii="Times New Roman" w:hAnsi="Times New Roman" w:cs="Times New Roman"/>
          <w:sz w:val="24"/>
          <w:szCs w:val="24"/>
        </w:rPr>
        <w:t xml:space="preserve"> образовательным запросам)</w:t>
      </w:r>
      <w:r w:rsidR="00A76AC0" w:rsidRPr="005E564B">
        <w:rPr>
          <w:rFonts w:ascii="Times New Roman" w:hAnsi="Times New Roman" w:cs="Times New Roman"/>
          <w:sz w:val="24"/>
          <w:szCs w:val="24"/>
        </w:rPr>
        <w:t xml:space="preserve">, воспринимать </w:t>
      </w:r>
      <w:r w:rsidR="00FD2B92" w:rsidRPr="005E564B">
        <w:rPr>
          <w:rFonts w:ascii="Times New Roman" w:hAnsi="Times New Roman" w:cs="Times New Roman"/>
          <w:sz w:val="24"/>
          <w:szCs w:val="24"/>
        </w:rPr>
        <w:t>критику и предложения</w:t>
      </w:r>
      <w:r w:rsidR="00A76AC0" w:rsidRPr="005E564B">
        <w:rPr>
          <w:rFonts w:ascii="Times New Roman" w:hAnsi="Times New Roman" w:cs="Times New Roman"/>
          <w:sz w:val="24"/>
          <w:szCs w:val="24"/>
        </w:rPr>
        <w:t xml:space="preserve"> и проводить соответствующую коррекцию.</w:t>
      </w:r>
      <w:r w:rsidR="001131EC" w:rsidRPr="005E5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9E" w:rsidRPr="005E564B" w:rsidRDefault="00F65324" w:rsidP="005E56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В современном дошкольном образовании</w:t>
      </w:r>
      <w:r w:rsidR="00663F4E" w:rsidRPr="005E564B">
        <w:rPr>
          <w:rFonts w:ascii="Times New Roman" w:hAnsi="Times New Roman" w:cs="Times New Roman"/>
          <w:sz w:val="24"/>
          <w:szCs w:val="24"/>
        </w:rPr>
        <w:t xml:space="preserve"> </w:t>
      </w:r>
      <w:r w:rsidR="00FD2B92" w:rsidRPr="005E564B">
        <w:rPr>
          <w:rFonts w:ascii="Times New Roman" w:hAnsi="Times New Roman" w:cs="Times New Roman"/>
          <w:sz w:val="24"/>
          <w:szCs w:val="24"/>
        </w:rPr>
        <w:t>можно выделить</w:t>
      </w:r>
      <w:r w:rsidR="00AE369E" w:rsidRPr="005E564B">
        <w:rPr>
          <w:rFonts w:ascii="Times New Roman" w:hAnsi="Times New Roman" w:cs="Times New Roman"/>
          <w:sz w:val="24"/>
          <w:szCs w:val="24"/>
        </w:rPr>
        <w:t xml:space="preserve"> </w:t>
      </w:r>
      <w:r w:rsidRPr="005E564B">
        <w:rPr>
          <w:rFonts w:ascii="Times New Roman" w:hAnsi="Times New Roman" w:cs="Times New Roman"/>
          <w:sz w:val="24"/>
          <w:szCs w:val="24"/>
        </w:rPr>
        <w:t>несколько</w:t>
      </w:r>
      <w:r w:rsidR="00AE369E" w:rsidRPr="005E564B">
        <w:rPr>
          <w:rFonts w:ascii="Times New Roman" w:hAnsi="Times New Roman" w:cs="Times New Roman"/>
          <w:sz w:val="24"/>
          <w:szCs w:val="24"/>
        </w:rPr>
        <w:t xml:space="preserve"> видов открытости образовательного процесса:</w:t>
      </w:r>
    </w:p>
    <w:p w:rsidR="00AE369E" w:rsidRPr="005E564B" w:rsidRDefault="00AE369E" w:rsidP="005E56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- информационная открытость</w:t>
      </w:r>
      <w:r w:rsidR="0097235B" w:rsidRPr="005E564B">
        <w:rPr>
          <w:rFonts w:ascii="Times New Roman" w:hAnsi="Times New Roman" w:cs="Times New Roman"/>
          <w:sz w:val="24"/>
          <w:szCs w:val="24"/>
        </w:rPr>
        <w:t xml:space="preserve"> (организационно-правовой режим взаимодействия ДОУ и семьи, обеспечивающий возможность получать необходимый и достаточный объём информации всем участникам этого взаимодействия);</w:t>
      </w:r>
    </w:p>
    <w:p w:rsidR="00AE369E" w:rsidRPr="005E564B" w:rsidRDefault="00AE369E" w:rsidP="005E56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- коммуникативная открытость</w:t>
      </w:r>
      <w:r w:rsidR="00663F4E" w:rsidRPr="005E564B">
        <w:rPr>
          <w:rFonts w:ascii="Times New Roman" w:hAnsi="Times New Roman" w:cs="Times New Roman"/>
          <w:sz w:val="24"/>
          <w:szCs w:val="24"/>
        </w:rPr>
        <w:t xml:space="preserve"> (ориентированное на ценности развития предметно</w:t>
      </w:r>
      <w:r w:rsidR="00F65324" w:rsidRPr="005E564B">
        <w:rPr>
          <w:rFonts w:ascii="Times New Roman" w:hAnsi="Times New Roman" w:cs="Times New Roman"/>
          <w:sz w:val="24"/>
          <w:szCs w:val="24"/>
        </w:rPr>
        <w:t xml:space="preserve"> </w:t>
      </w:r>
      <w:r w:rsidR="00663F4E" w:rsidRPr="005E564B">
        <w:rPr>
          <w:rFonts w:ascii="Times New Roman" w:hAnsi="Times New Roman" w:cs="Times New Roman"/>
          <w:sz w:val="24"/>
          <w:szCs w:val="24"/>
        </w:rPr>
        <w:t xml:space="preserve">обусловленное коммуникативное взаимодействие субъектов образовательного процесса (педагогов, детей, родителей)); </w:t>
      </w:r>
    </w:p>
    <w:p w:rsidR="00AE369E" w:rsidRPr="005E564B" w:rsidRDefault="00AE369E" w:rsidP="005E56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- методическая открытость</w:t>
      </w:r>
      <w:r w:rsidR="00B26F68" w:rsidRPr="005E564B">
        <w:rPr>
          <w:rFonts w:ascii="Times New Roman" w:hAnsi="Times New Roman" w:cs="Times New Roman"/>
          <w:sz w:val="24"/>
          <w:szCs w:val="24"/>
        </w:rPr>
        <w:t xml:space="preserve"> (разнообразие дидактических технологий и методов; возможность пробного действия субъекта, когда неуспех не влечёт за собой никаких санкций; учёт ситуационных условий при выборе методики)</w:t>
      </w:r>
      <w:r w:rsidR="0097235B" w:rsidRPr="005E564B">
        <w:rPr>
          <w:rFonts w:ascii="Times New Roman" w:hAnsi="Times New Roman" w:cs="Times New Roman"/>
          <w:sz w:val="24"/>
          <w:szCs w:val="24"/>
        </w:rPr>
        <w:t>;</w:t>
      </w:r>
    </w:p>
    <w:p w:rsidR="00AE369E" w:rsidRPr="005E564B" w:rsidRDefault="00AE369E" w:rsidP="005E56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- содержательная открытость</w:t>
      </w:r>
      <w:r w:rsidR="009F3469" w:rsidRPr="005E564B">
        <w:rPr>
          <w:rFonts w:ascii="Times New Roman" w:hAnsi="Times New Roman" w:cs="Times New Roman"/>
          <w:sz w:val="24"/>
          <w:szCs w:val="24"/>
        </w:rPr>
        <w:t xml:space="preserve"> (многообразие содержания, правила отбора содержания, влияние на качество данного отбора среды/субъектов среды</w:t>
      </w:r>
      <w:r w:rsidR="00C75CB0" w:rsidRPr="005E564B">
        <w:rPr>
          <w:rFonts w:ascii="Times New Roman" w:hAnsi="Times New Roman" w:cs="Times New Roman"/>
          <w:sz w:val="24"/>
          <w:szCs w:val="24"/>
        </w:rPr>
        <w:t>; допускаются и учитываются находки, интерпретации, добавления и изменения со стороны субъектов</w:t>
      </w:r>
      <w:r w:rsidR="009F3469" w:rsidRPr="005E564B">
        <w:rPr>
          <w:rFonts w:ascii="Times New Roman" w:hAnsi="Times New Roman" w:cs="Times New Roman"/>
          <w:sz w:val="24"/>
          <w:szCs w:val="24"/>
        </w:rPr>
        <w:t>)</w:t>
      </w:r>
      <w:r w:rsidR="0097235B" w:rsidRPr="005E564B">
        <w:rPr>
          <w:rFonts w:ascii="Times New Roman" w:hAnsi="Times New Roman" w:cs="Times New Roman"/>
          <w:sz w:val="24"/>
          <w:szCs w:val="24"/>
        </w:rPr>
        <w:t>;</w:t>
      </w:r>
    </w:p>
    <w:p w:rsidR="00741BA9" w:rsidRPr="005E564B" w:rsidRDefault="00741BA9" w:rsidP="005E56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- открытость планирования (</w:t>
      </w:r>
      <w:r w:rsidR="00F65324" w:rsidRPr="005E564B">
        <w:rPr>
          <w:rFonts w:ascii="Times New Roman" w:hAnsi="Times New Roman" w:cs="Times New Roman"/>
          <w:sz w:val="24"/>
          <w:szCs w:val="24"/>
        </w:rPr>
        <w:t xml:space="preserve">планирование деятельности </w:t>
      </w:r>
      <w:r w:rsidRPr="005E564B">
        <w:rPr>
          <w:rFonts w:ascii="Times New Roman" w:hAnsi="Times New Roman" w:cs="Times New Roman"/>
          <w:sz w:val="24"/>
          <w:szCs w:val="24"/>
        </w:rPr>
        <w:t>с опорой на личный опыт субъектов образовательного процесса</w:t>
      </w:r>
      <w:r w:rsidR="00490613" w:rsidRPr="005E564B">
        <w:rPr>
          <w:rFonts w:ascii="Times New Roman" w:hAnsi="Times New Roman" w:cs="Times New Roman"/>
          <w:sz w:val="24"/>
          <w:szCs w:val="24"/>
        </w:rPr>
        <w:t xml:space="preserve"> – дет</w:t>
      </w:r>
      <w:r w:rsidR="00F65324" w:rsidRPr="005E564B">
        <w:rPr>
          <w:rFonts w:ascii="Times New Roman" w:hAnsi="Times New Roman" w:cs="Times New Roman"/>
          <w:sz w:val="24"/>
          <w:szCs w:val="24"/>
        </w:rPr>
        <w:t>ей и родителей</w:t>
      </w:r>
      <w:r w:rsidR="00490613" w:rsidRPr="005E564B">
        <w:rPr>
          <w:rFonts w:ascii="Times New Roman" w:hAnsi="Times New Roman" w:cs="Times New Roman"/>
          <w:sz w:val="24"/>
          <w:szCs w:val="24"/>
        </w:rPr>
        <w:t>; уч</w:t>
      </w:r>
      <w:r w:rsidR="00F65324" w:rsidRPr="005E564B">
        <w:rPr>
          <w:rFonts w:ascii="Times New Roman" w:hAnsi="Times New Roman" w:cs="Times New Roman"/>
          <w:sz w:val="24"/>
          <w:szCs w:val="24"/>
        </w:rPr>
        <w:t>ет</w:t>
      </w:r>
      <w:r w:rsidR="00490613" w:rsidRPr="005E564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65324" w:rsidRPr="005E564B">
        <w:rPr>
          <w:rFonts w:ascii="Times New Roman" w:hAnsi="Times New Roman" w:cs="Times New Roman"/>
          <w:sz w:val="24"/>
          <w:szCs w:val="24"/>
        </w:rPr>
        <w:t xml:space="preserve">ого </w:t>
      </w:r>
      <w:r w:rsidR="00490613" w:rsidRPr="005E564B">
        <w:rPr>
          <w:rFonts w:ascii="Times New Roman" w:hAnsi="Times New Roman" w:cs="Times New Roman"/>
          <w:sz w:val="24"/>
          <w:szCs w:val="24"/>
        </w:rPr>
        <w:t>запрос</w:t>
      </w:r>
      <w:r w:rsidR="00F65324" w:rsidRPr="005E564B">
        <w:rPr>
          <w:rFonts w:ascii="Times New Roman" w:hAnsi="Times New Roman" w:cs="Times New Roman"/>
          <w:sz w:val="24"/>
          <w:szCs w:val="24"/>
        </w:rPr>
        <w:t xml:space="preserve">а </w:t>
      </w:r>
      <w:r w:rsidR="00490613" w:rsidRPr="005E564B">
        <w:rPr>
          <w:rFonts w:ascii="Times New Roman" w:hAnsi="Times New Roman" w:cs="Times New Roman"/>
          <w:sz w:val="24"/>
          <w:szCs w:val="24"/>
        </w:rPr>
        <w:t>семьи</w:t>
      </w:r>
      <w:r w:rsidR="00F65324" w:rsidRPr="005E564B">
        <w:rPr>
          <w:rFonts w:ascii="Times New Roman" w:hAnsi="Times New Roman" w:cs="Times New Roman"/>
          <w:sz w:val="24"/>
          <w:szCs w:val="24"/>
        </w:rPr>
        <w:t xml:space="preserve"> и соответствующая коррекция планируемых результатов</w:t>
      </w:r>
      <w:r w:rsidR="00490613" w:rsidRPr="005E564B">
        <w:rPr>
          <w:rFonts w:ascii="Times New Roman" w:hAnsi="Times New Roman" w:cs="Times New Roman"/>
          <w:sz w:val="24"/>
          <w:szCs w:val="24"/>
        </w:rPr>
        <w:t>)</w:t>
      </w:r>
      <w:r w:rsidR="0097235B" w:rsidRPr="005E564B">
        <w:rPr>
          <w:rFonts w:ascii="Times New Roman" w:hAnsi="Times New Roman" w:cs="Times New Roman"/>
          <w:sz w:val="24"/>
          <w:szCs w:val="24"/>
        </w:rPr>
        <w:t>;</w:t>
      </w:r>
    </w:p>
    <w:p w:rsidR="00AE369E" w:rsidRPr="005E564B" w:rsidRDefault="00AE369E" w:rsidP="005E56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- открытость организационных форм</w:t>
      </w:r>
      <w:r w:rsidR="009F3469" w:rsidRPr="005E564B">
        <w:rPr>
          <w:rFonts w:ascii="Times New Roman" w:hAnsi="Times New Roman" w:cs="Times New Roman"/>
          <w:sz w:val="24"/>
          <w:szCs w:val="24"/>
        </w:rPr>
        <w:t xml:space="preserve"> (комплекснос</w:t>
      </w:r>
      <w:r w:rsidR="00C75CB0" w:rsidRPr="005E564B">
        <w:rPr>
          <w:rFonts w:ascii="Times New Roman" w:hAnsi="Times New Roman" w:cs="Times New Roman"/>
          <w:sz w:val="24"/>
          <w:szCs w:val="24"/>
        </w:rPr>
        <w:t>ть фактических и возможных форм; важность не бездумной реализации форм, а собственное творчество</w:t>
      </w:r>
      <w:r w:rsidR="00F65324" w:rsidRPr="005E564B">
        <w:rPr>
          <w:rFonts w:ascii="Times New Roman" w:hAnsi="Times New Roman" w:cs="Times New Roman"/>
          <w:sz w:val="24"/>
          <w:szCs w:val="24"/>
        </w:rPr>
        <w:t xml:space="preserve"> субъектов образования</w:t>
      </w:r>
      <w:r w:rsidR="00C75CB0" w:rsidRPr="005E564B">
        <w:rPr>
          <w:rFonts w:ascii="Times New Roman" w:hAnsi="Times New Roman" w:cs="Times New Roman"/>
          <w:sz w:val="24"/>
          <w:szCs w:val="24"/>
        </w:rPr>
        <w:t>; субъекты имеют право предлагать, изменять и реализовывать собственные формы)</w:t>
      </w:r>
      <w:r w:rsidR="0097235B" w:rsidRPr="005E564B">
        <w:rPr>
          <w:rFonts w:ascii="Times New Roman" w:hAnsi="Times New Roman" w:cs="Times New Roman"/>
          <w:sz w:val="24"/>
          <w:szCs w:val="24"/>
        </w:rPr>
        <w:t>;</w:t>
      </w:r>
    </w:p>
    <w:p w:rsidR="00AE369E" w:rsidRPr="005E564B" w:rsidRDefault="00AE369E" w:rsidP="005E56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- открытость социо-эмоциональной сфер</w:t>
      </w:r>
      <w:r w:rsidR="00390BA8" w:rsidRPr="005E564B">
        <w:rPr>
          <w:rFonts w:ascii="Times New Roman" w:hAnsi="Times New Roman" w:cs="Times New Roman"/>
          <w:sz w:val="24"/>
          <w:szCs w:val="24"/>
        </w:rPr>
        <w:t>е (</w:t>
      </w:r>
      <w:r w:rsidR="00F65324" w:rsidRPr="005E564B">
        <w:rPr>
          <w:rFonts w:ascii="Times New Roman" w:hAnsi="Times New Roman" w:cs="Times New Roman"/>
          <w:sz w:val="24"/>
          <w:szCs w:val="24"/>
        </w:rPr>
        <w:t>показатель демократичности</w:t>
      </w:r>
      <w:r w:rsidR="00390BA8" w:rsidRPr="005E564B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F65324" w:rsidRPr="005E564B">
        <w:rPr>
          <w:rFonts w:ascii="Times New Roman" w:hAnsi="Times New Roman" w:cs="Times New Roman"/>
          <w:sz w:val="24"/>
          <w:szCs w:val="24"/>
        </w:rPr>
        <w:t>й</w:t>
      </w:r>
      <w:r w:rsidR="00390BA8" w:rsidRPr="005E564B">
        <w:rPr>
          <w:rFonts w:ascii="Times New Roman" w:hAnsi="Times New Roman" w:cs="Times New Roman"/>
          <w:sz w:val="24"/>
          <w:szCs w:val="24"/>
        </w:rPr>
        <w:t xml:space="preserve"> субъектов образовательного процесса; стимулирование группового взаимодействия; учёт социальных и эмоциональных потребностей)</w:t>
      </w:r>
      <w:r w:rsidR="00663F4E" w:rsidRPr="005E564B">
        <w:rPr>
          <w:rFonts w:ascii="Times New Roman" w:hAnsi="Times New Roman" w:cs="Times New Roman"/>
          <w:sz w:val="24"/>
          <w:szCs w:val="24"/>
        </w:rPr>
        <w:t>;</w:t>
      </w:r>
    </w:p>
    <w:p w:rsidR="00663F4E" w:rsidRPr="005E564B" w:rsidRDefault="00663F4E" w:rsidP="005E56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- рефлексивная открытость (развивающий характер взаимодействия, выявление и обоснование проблем, их причин; коррекция и конструк</w:t>
      </w:r>
      <w:r w:rsidR="00FD2B92" w:rsidRPr="005E564B">
        <w:rPr>
          <w:rFonts w:ascii="Times New Roman" w:hAnsi="Times New Roman" w:cs="Times New Roman"/>
          <w:sz w:val="24"/>
          <w:szCs w:val="24"/>
        </w:rPr>
        <w:t>тивное преобразование процесса).</w:t>
      </w:r>
    </w:p>
    <w:p w:rsidR="009F3469" w:rsidRPr="005E564B" w:rsidRDefault="00390BA8" w:rsidP="005E56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Только открытый образовательный процесс</w:t>
      </w:r>
      <w:r w:rsidR="00FD2B92" w:rsidRPr="005E564B">
        <w:rPr>
          <w:rFonts w:ascii="Times New Roman" w:hAnsi="Times New Roman" w:cs="Times New Roman"/>
          <w:sz w:val="24"/>
          <w:szCs w:val="24"/>
        </w:rPr>
        <w:t xml:space="preserve"> (как любая открытая система)</w:t>
      </w:r>
      <w:r w:rsidR="00310301" w:rsidRPr="005E564B">
        <w:rPr>
          <w:rFonts w:ascii="Times New Roman" w:hAnsi="Times New Roman" w:cs="Times New Roman"/>
          <w:sz w:val="24"/>
          <w:szCs w:val="24"/>
        </w:rPr>
        <w:t xml:space="preserve"> </w:t>
      </w:r>
      <w:r w:rsidRPr="005E564B">
        <w:rPr>
          <w:rFonts w:ascii="Times New Roman" w:hAnsi="Times New Roman" w:cs="Times New Roman"/>
          <w:sz w:val="24"/>
          <w:szCs w:val="24"/>
        </w:rPr>
        <w:t>имеет перспектив</w:t>
      </w:r>
      <w:r w:rsidR="00923AEC" w:rsidRPr="005E564B">
        <w:rPr>
          <w:rFonts w:ascii="Times New Roman" w:hAnsi="Times New Roman" w:cs="Times New Roman"/>
          <w:sz w:val="24"/>
          <w:szCs w:val="24"/>
        </w:rPr>
        <w:t>у</w:t>
      </w:r>
      <w:r w:rsidRPr="005E564B">
        <w:rPr>
          <w:rFonts w:ascii="Times New Roman" w:hAnsi="Times New Roman" w:cs="Times New Roman"/>
          <w:sz w:val="24"/>
          <w:szCs w:val="24"/>
        </w:rPr>
        <w:t xml:space="preserve"> и направлени</w:t>
      </w:r>
      <w:r w:rsidR="00923AEC" w:rsidRPr="005E564B">
        <w:rPr>
          <w:rFonts w:ascii="Times New Roman" w:hAnsi="Times New Roman" w:cs="Times New Roman"/>
          <w:sz w:val="24"/>
          <w:szCs w:val="24"/>
        </w:rPr>
        <w:t>я</w:t>
      </w:r>
      <w:r w:rsidRPr="005E564B">
        <w:rPr>
          <w:rFonts w:ascii="Times New Roman" w:hAnsi="Times New Roman" w:cs="Times New Roman"/>
          <w:sz w:val="24"/>
          <w:szCs w:val="24"/>
        </w:rPr>
        <w:t xml:space="preserve"> своего развития</w:t>
      </w:r>
      <w:r w:rsidR="00741BA9" w:rsidRPr="005E564B">
        <w:rPr>
          <w:rFonts w:ascii="Times New Roman" w:hAnsi="Times New Roman" w:cs="Times New Roman"/>
          <w:sz w:val="24"/>
          <w:szCs w:val="24"/>
        </w:rPr>
        <w:t xml:space="preserve">. </w:t>
      </w:r>
      <w:r w:rsidR="00723F6D" w:rsidRPr="005E564B">
        <w:rPr>
          <w:rFonts w:ascii="Times New Roman" w:hAnsi="Times New Roman" w:cs="Times New Roman"/>
          <w:sz w:val="24"/>
          <w:szCs w:val="24"/>
        </w:rPr>
        <w:t xml:space="preserve">Но, </w:t>
      </w:r>
      <w:r w:rsidR="00310301" w:rsidRPr="005E564B">
        <w:rPr>
          <w:rFonts w:ascii="Times New Roman" w:hAnsi="Times New Roman" w:cs="Times New Roman"/>
          <w:sz w:val="24"/>
          <w:szCs w:val="24"/>
        </w:rPr>
        <w:t>о</w:t>
      </w:r>
      <w:r w:rsidR="00741BA9" w:rsidRPr="005E564B">
        <w:rPr>
          <w:rFonts w:ascii="Times New Roman" w:hAnsi="Times New Roman" w:cs="Times New Roman"/>
          <w:sz w:val="24"/>
          <w:szCs w:val="24"/>
        </w:rPr>
        <w:t>ткрытие образовательного процесса</w:t>
      </w:r>
      <w:r w:rsidR="00310301" w:rsidRPr="005E564B">
        <w:rPr>
          <w:rFonts w:ascii="Times New Roman" w:hAnsi="Times New Roman" w:cs="Times New Roman"/>
          <w:sz w:val="24"/>
          <w:szCs w:val="24"/>
        </w:rPr>
        <w:t xml:space="preserve"> ДОУ социуму/семье</w:t>
      </w:r>
      <w:r w:rsidR="00741BA9" w:rsidRPr="005E564B">
        <w:rPr>
          <w:rFonts w:ascii="Times New Roman" w:hAnsi="Times New Roman" w:cs="Times New Roman"/>
          <w:sz w:val="24"/>
          <w:szCs w:val="24"/>
        </w:rPr>
        <w:t xml:space="preserve"> происходит не за счёт вынесения этого процесса вовне, а путём создания внутри ДОУ разнообразной среды благодаря сотрудничеству и взаимодействию с родителями воспитанников</w:t>
      </w:r>
      <w:r w:rsidR="00310301" w:rsidRPr="005E564B">
        <w:rPr>
          <w:rFonts w:ascii="Times New Roman" w:hAnsi="Times New Roman" w:cs="Times New Roman"/>
          <w:sz w:val="24"/>
          <w:szCs w:val="24"/>
        </w:rPr>
        <w:t>, непосредственно заинтересованных в поддержании стабильной ситуации развития ребёнка и удовлетворении собственных образовательных потребностей.</w:t>
      </w:r>
    </w:p>
    <w:p w:rsidR="001F2B7F" w:rsidRPr="005E564B" w:rsidRDefault="00FD2B92" w:rsidP="005E564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Исходя из анализа требований ФГОС ДО</w:t>
      </w:r>
      <w:r w:rsidR="0050554D">
        <w:rPr>
          <w:rFonts w:ascii="Times New Roman" w:hAnsi="Times New Roman" w:cs="Times New Roman"/>
          <w:sz w:val="24"/>
          <w:szCs w:val="24"/>
        </w:rPr>
        <w:t>,</w:t>
      </w:r>
      <w:r w:rsidRPr="005E564B">
        <w:rPr>
          <w:rFonts w:ascii="Times New Roman" w:hAnsi="Times New Roman" w:cs="Times New Roman"/>
          <w:sz w:val="24"/>
          <w:szCs w:val="24"/>
        </w:rPr>
        <w:t xml:space="preserve"> п</w:t>
      </w:r>
      <w:r w:rsidR="00A56B69" w:rsidRPr="005E564B">
        <w:rPr>
          <w:rFonts w:ascii="Times New Roman" w:hAnsi="Times New Roman" w:cs="Times New Roman"/>
          <w:sz w:val="24"/>
          <w:szCs w:val="24"/>
        </w:rPr>
        <w:t>роцессы модернизации системы дошкольного образования имеют ярко выраженную коммуникативную направленность и ориентацию на организацию конструктивного педагогического взаимодействия</w:t>
      </w:r>
      <w:r w:rsidRPr="005E564B">
        <w:rPr>
          <w:rFonts w:ascii="Times New Roman" w:hAnsi="Times New Roman" w:cs="Times New Roman"/>
          <w:sz w:val="24"/>
          <w:szCs w:val="24"/>
        </w:rPr>
        <w:t xml:space="preserve"> [2]. </w:t>
      </w:r>
      <w:r w:rsidR="00A56B69" w:rsidRPr="005E564B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CB31C0" w:rsidRPr="005E564B">
        <w:rPr>
          <w:rFonts w:ascii="Times New Roman" w:hAnsi="Times New Roman" w:cs="Times New Roman"/>
          <w:sz w:val="24"/>
          <w:szCs w:val="24"/>
        </w:rPr>
        <w:t xml:space="preserve">в данной статье </w:t>
      </w:r>
      <w:r w:rsidR="001F2B7F" w:rsidRPr="005E564B">
        <w:rPr>
          <w:rFonts w:ascii="Times New Roman" w:hAnsi="Times New Roman" w:cs="Times New Roman"/>
          <w:sz w:val="24"/>
          <w:szCs w:val="24"/>
        </w:rPr>
        <w:t>актуализирована именно</w:t>
      </w:r>
      <w:r w:rsidR="00CB31C0" w:rsidRPr="005E564B">
        <w:rPr>
          <w:rFonts w:ascii="Times New Roman" w:hAnsi="Times New Roman" w:cs="Times New Roman"/>
          <w:sz w:val="24"/>
          <w:szCs w:val="24"/>
        </w:rPr>
        <w:t xml:space="preserve"> коммуникативная открытость ДОУ. </w:t>
      </w:r>
    </w:p>
    <w:p w:rsidR="001F2B7F" w:rsidRPr="005E564B" w:rsidRDefault="00CB31C0" w:rsidP="005E564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Коммуникативная открытость</w:t>
      </w:r>
      <w:r w:rsidR="001F2B7F" w:rsidRPr="005E564B">
        <w:rPr>
          <w:rFonts w:ascii="Times New Roman" w:hAnsi="Times New Roman" w:cs="Times New Roman"/>
          <w:sz w:val="24"/>
          <w:szCs w:val="24"/>
        </w:rPr>
        <w:t xml:space="preserve"> ДОУ определена нами как мотивированная деятельность, направленная на конструктивное решение коммуникативных задач, ориентированных на развитие субъектов образовательной практики (дети, родители, педагоги).</w:t>
      </w:r>
    </w:p>
    <w:p w:rsidR="00070EE6" w:rsidRPr="005E564B" w:rsidRDefault="001F2B7F" w:rsidP="005E564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 xml:space="preserve"> </w:t>
      </w:r>
      <w:r w:rsidR="00070EE6" w:rsidRPr="005E564B">
        <w:rPr>
          <w:rFonts w:ascii="Times New Roman" w:hAnsi="Times New Roman" w:cs="Times New Roman"/>
          <w:sz w:val="24"/>
          <w:szCs w:val="24"/>
        </w:rPr>
        <w:t xml:space="preserve">В </w:t>
      </w:r>
      <w:r w:rsidR="002A420B" w:rsidRPr="005E564B">
        <w:rPr>
          <w:rFonts w:ascii="Times New Roman" w:hAnsi="Times New Roman" w:cs="Times New Roman"/>
          <w:sz w:val="24"/>
          <w:szCs w:val="24"/>
        </w:rPr>
        <w:t xml:space="preserve">качестве сквозных критериальных </w:t>
      </w:r>
      <w:r w:rsidR="00070EE6" w:rsidRPr="005E564B">
        <w:rPr>
          <w:rFonts w:ascii="Times New Roman" w:hAnsi="Times New Roman" w:cs="Times New Roman"/>
          <w:sz w:val="24"/>
          <w:szCs w:val="24"/>
        </w:rPr>
        <w:t>оснований дифференциации уровней развития коммуникативной открытости ДОУ определим различную степень рефлексии субъектов</w:t>
      </w:r>
      <w:r w:rsidR="00CB31C0" w:rsidRPr="005E564B">
        <w:rPr>
          <w:rFonts w:ascii="Times New Roman" w:hAnsi="Times New Roman" w:cs="Times New Roman"/>
          <w:sz w:val="24"/>
          <w:szCs w:val="24"/>
        </w:rPr>
        <w:t xml:space="preserve"> (ДОУ и семья)</w:t>
      </w:r>
      <w:r w:rsidR="002A420B" w:rsidRPr="005E564B">
        <w:rPr>
          <w:rFonts w:ascii="Times New Roman" w:hAnsi="Times New Roman" w:cs="Times New Roman"/>
          <w:sz w:val="24"/>
          <w:szCs w:val="24"/>
        </w:rPr>
        <w:t xml:space="preserve"> в процессе</w:t>
      </w:r>
      <w:r w:rsidR="00070EE6" w:rsidRPr="005E564B">
        <w:rPr>
          <w:rFonts w:ascii="Times New Roman" w:hAnsi="Times New Roman" w:cs="Times New Roman"/>
          <w:sz w:val="24"/>
          <w:szCs w:val="24"/>
        </w:rPr>
        <w:t xml:space="preserve"> коммуникативного взаимодействия:</w:t>
      </w:r>
    </w:p>
    <w:p w:rsidR="00070EE6" w:rsidRPr="005E564B" w:rsidRDefault="00070EE6" w:rsidP="005E564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1 уровень (критический) – отсутствие способности к рефлексии, т.е. осознанию и обоснованию используемых средств коммуникативного взаимодействия;</w:t>
      </w:r>
    </w:p>
    <w:p w:rsidR="00070EE6" w:rsidRPr="005E564B" w:rsidRDefault="00070EE6" w:rsidP="005E564B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уровень (допустимый) – ситуативные проявления способности к рефлексии оснований выбора средств коммуникативного взаимодействия;</w:t>
      </w:r>
    </w:p>
    <w:p w:rsidR="00070EE6" w:rsidRPr="005E564B" w:rsidRDefault="00070EE6" w:rsidP="005E564B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 xml:space="preserve">уровень (оптимальный) – проявление устойчивой потребности и психологической готовности к рефлексии системного и ценностно - ориентированного выбора средств </w:t>
      </w:r>
      <w:r w:rsidRPr="005E564B">
        <w:rPr>
          <w:rFonts w:ascii="Times New Roman" w:hAnsi="Times New Roman" w:cs="Times New Roman"/>
          <w:sz w:val="24"/>
          <w:szCs w:val="24"/>
        </w:rPr>
        <w:lastRenderedPageBreak/>
        <w:t>коммуникативного взаимодействия (осознание необходимости конструктивного коммуникативного взаимодействия как основы сотрудничества).</w:t>
      </w:r>
    </w:p>
    <w:p w:rsidR="00D72DAD" w:rsidRDefault="00070EE6" w:rsidP="005E564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В содержательной структуре коммуникативной открытости ДОУ выделяем три компонента: ценностно – смысловой, когнитивный и деятельностный</w:t>
      </w:r>
      <w:r w:rsidR="00552F74" w:rsidRPr="005E564B">
        <w:rPr>
          <w:rFonts w:ascii="Times New Roman" w:hAnsi="Times New Roman" w:cs="Times New Roman"/>
          <w:sz w:val="24"/>
          <w:szCs w:val="24"/>
        </w:rPr>
        <w:t xml:space="preserve"> (</w:t>
      </w:r>
      <w:r w:rsidR="00E828FC">
        <w:rPr>
          <w:rFonts w:ascii="Times New Roman" w:hAnsi="Times New Roman" w:cs="Times New Roman"/>
          <w:sz w:val="24"/>
          <w:szCs w:val="24"/>
        </w:rPr>
        <w:t>Таблица</w:t>
      </w:r>
      <w:r w:rsidR="00473612">
        <w:rPr>
          <w:rFonts w:ascii="Times New Roman" w:hAnsi="Times New Roman" w:cs="Times New Roman"/>
          <w:sz w:val="24"/>
          <w:szCs w:val="24"/>
        </w:rPr>
        <w:t>2</w:t>
      </w:r>
      <w:r w:rsidR="00552F74" w:rsidRPr="005E564B">
        <w:rPr>
          <w:rFonts w:ascii="Times New Roman" w:hAnsi="Times New Roman" w:cs="Times New Roman"/>
          <w:sz w:val="24"/>
          <w:szCs w:val="24"/>
        </w:rPr>
        <w:t>)</w:t>
      </w:r>
      <w:r w:rsidR="00F9357A" w:rsidRPr="005E564B">
        <w:rPr>
          <w:rFonts w:ascii="Times New Roman" w:hAnsi="Times New Roman" w:cs="Times New Roman"/>
          <w:sz w:val="24"/>
          <w:szCs w:val="24"/>
        </w:rPr>
        <w:t>.</w:t>
      </w:r>
    </w:p>
    <w:p w:rsidR="00E828FC" w:rsidRDefault="00E828FC" w:rsidP="00E828FC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Таблица </w:t>
      </w:r>
      <w:r w:rsidR="00473612">
        <w:rPr>
          <w:rFonts w:ascii="Times New Roman" w:hAnsi="Times New Roman" w:cs="Times New Roman"/>
          <w:sz w:val="24"/>
          <w:szCs w:val="24"/>
        </w:rPr>
        <w:t>2</w:t>
      </w:r>
    </w:p>
    <w:p w:rsidR="00E828FC" w:rsidRDefault="00E828FC" w:rsidP="00E828FC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структурных компонентов коммуникативной открытости ДОУ</w:t>
      </w:r>
    </w:p>
    <w:tbl>
      <w:tblPr>
        <w:tblStyle w:val="a3"/>
        <w:tblW w:w="9795" w:type="dxa"/>
        <w:tblLook w:val="04A0" w:firstRow="1" w:lastRow="0" w:firstColumn="1" w:lastColumn="0" w:noHBand="0" w:noVBand="1"/>
      </w:tblPr>
      <w:tblGrid>
        <w:gridCol w:w="2087"/>
        <w:gridCol w:w="2870"/>
        <w:gridCol w:w="4838"/>
      </w:tblGrid>
      <w:tr w:rsidR="0050554D" w:rsidRPr="000928C7" w:rsidTr="00FB5647">
        <w:trPr>
          <w:trHeight w:val="748"/>
        </w:trPr>
        <w:tc>
          <w:tcPr>
            <w:tcW w:w="2087" w:type="dxa"/>
          </w:tcPr>
          <w:p w:rsidR="0050554D" w:rsidRPr="000928C7" w:rsidRDefault="0050554D" w:rsidP="000928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</w:t>
            </w:r>
          </w:p>
        </w:tc>
        <w:tc>
          <w:tcPr>
            <w:tcW w:w="2870" w:type="dxa"/>
          </w:tcPr>
          <w:p w:rsidR="0050554D" w:rsidRPr="000928C7" w:rsidRDefault="0050554D" w:rsidP="0009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r w:rsidR="00FB5647" w:rsidRPr="000928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0928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критически</w:t>
            </w:r>
            <w:r w:rsidRPr="0009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й, </w:t>
            </w:r>
          </w:p>
          <w:p w:rsidR="0050554D" w:rsidRPr="000928C7" w:rsidRDefault="0050554D" w:rsidP="0009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b/>
                <w:sz w:val="24"/>
                <w:szCs w:val="24"/>
              </w:rPr>
              <w:t>Д-</w:t>
            </w: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  <w:p w:rsidR="0050554D" w:rsidRPr="000928C7" w:rsidRDefault="0050554D" w:rsidP="0009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оптимальный)</w:t>
            </w:r>
          </w:p>
        </w:tc>
        <w:tc>
          <w:tcPr>
            <w:tcW w:w="4838" w:type="dxa"/>
          </w:tcPr>
          <w:p w:rsidR="0050554D" w:rsidRPr="000928C7" w:rsidRDefault="0050554D" w:rsidP="000928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уровней</w:t>
            </w:r>
          </w:p>
        </w:tc>
      </w:tr>
      <w:tr w:rsidR="00FB5647" w:rsidRPr="000928C7" w:rsidTr="00FB5647">
        <w:tc>
          <w:tcPr>
            <w:tcW w:w="2087" w:type="dxa"/>
            <w:vMerge w:val="restart"/>
          </w:tcPr>
          <w:p w:rsidR="00FB5647" w:rsidRPr="000928C7" w:rsidRDefault="00FB5647" w:rsidP="000928C7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Ценностно-смысловой </w:t>
            </w:r>
          </w:p>
          <w:p w:rsidR="00FB5647" w:rsidRPr="000928C7" w:rsidRDefault="00FB5647" w:rsidP="000928C7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FB5647" w:rsidRPr="000928C7" w:rsidRDefault="00FB5647" w:rsidP="000928C7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 xml:space="preserve">Формально-информационный- </w:t>
            </w:r>
            <w:r w:rsidRPr="000928C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Формальное отношение к использованию средств коммуникации, ориентированное на субъект – объектную стратегию взаимодействия.</w:t>
            </w:r>
          </w:p>
        </w:tc>
      </w:tr>
      <w:tr w:rsidR="00FB5647" w:rsidRPr="000928C7" w:rsidTr="00FB5647">
        <w:tc>
          <w:tcPr>
            <w:tcW w:w="2087" w:type="dxa"/>
            <w:vMerge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Ситуативно-рефлексивный - </w:t>
            </w:r>
            <w:r w:rsidRPr="000928C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Ситуативно проявляющееся осознанное отношение к выбору средств коммуникативного взаимодействия и их рефлексии.</w:t>
            </w:r>
          </w:p>
        </w:tc>
      </w:tr>
      <w:tr w:rsidR="00FB5647" w:rsidRPr="000928C7" w:rsidTr="00FB5647">
        <w:tc>
          <w:tcPr>
            <w:tcW w:w="2087" w:type="dxa"/>
            <w:vMerge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ценностно-рефлексивный - </w:t>
            </w:r>
            <w:r w:rsidRPr="000928C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Осмысленное рефлексивное понимание и принятие коммуникативной компетентности как стержневой основы профессионально-педагогической деятельности, ориентированной на ценности развития с приоритетом субъект – субъектной стратегии взаимодействия.</w:t>
            </w:r>
          </w:p>
        </w:tc>
      </w:tr>
      <w:tr w:rsidR="00FB5647" w:rsidRPr="000928C7" w:rsidTr="00FB5647">
        <w:tc>
          <w:tcPr>
            <w:tcW w:w="2087" w:type="dxa"/>
            <w:vMerge w:val="restart"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2870" w:type="dxa"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Информационно-поверхностный - </w:t>
            </w:r>
            <w:r w:rsidRPr="000928C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коммуникации: функции, средства, приёмы, формы, стратегии общения. Знания рассматриваются как статичный конструкт, который не используется в организации деятельности.</w:t>
            </w:r>
          </w:p>
        </w:tc>
      </w:tr>
      <w:tr w:rsidR="00FB5647" w:rsidRPr="000928C7" w:rsidTr="00FB5647">
        <w:tc>
          <w:tcPr>
            <w:tcW w:w="2087" w:type="dxa"/>
            <w:vMerge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Ситуативно-рефлексивный - </w:t>
            </w:r>
            <w:r w:rsidRPr="000928C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B5647" w:rsidRPr="000928C7" w:rsidRDefault="00FB5647" w:rsidP="000928C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Знание технологий конструктивного взаимодействия, ситуативное применение этого знания в профессиональной деятельности.</w:t>
            </w:r>
          </w:p>
        </w:tc>
      </w:tr>
      <w:tr w:rsidR="00FB5647" w:rsidRPr="000928C7" w:rsidTr="00FB5647">
        <w:tc>
          <w:tcPr>
            <w:tcW w:w="2087" w:type="dxa"/>
            <w:vMerge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FB5647" w:rsidRPr="000928C7" w:rsidRDefault="00FB5647" w:rsidP="000928C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 – деятельностный- </w:t>
            </w:r>
            <w:r w:rsidRPr="000928C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 xml:space="preserve">Знание о приёмах организации конструктивного взаимодействия, которое конструируется в процессе рефлексии опыта взаимодействия </w:t>
            </w:r>
          </w:p>
        </w:tc>
      </w:tr>
      <w:tr w:rsidR="00FB5647" w:rsidRPr="000928C7" w:rsidTr="00FB5647">
        <w:tc>
          <w:tcPr>
            <w:tcW w:w="2087" w:type="dxa"/>
            <w:vMerge w:val="restart"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Деятельностный компонент</w:t>
            </w:r>
          </w:p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 xml:space="preserve">Формально-репродуктивный - </w:t>
            </w:r>
            <w:r w:rsidRPr="000928C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Формальный выбор применяемых методов и приёмов коммуникации, неспособность к обоснованию и рефлексии используемых средств педагогического взаимодействия</w:t>
            </w:r>
          </w:p>
        </w:tc>
      </w:tr>
      <w:tr w:rsidR="00FB5647" w:rsidRPr="000928C7" w:rsidTr="00FB5647">
        <w:trPr>
          <w:trHeight w:val="219"/>
        </w:trPr>
        <w:tc>
          <w:tcPr>
            <w:tcW w:w="2087" w:type="dxa"/>
            <w:vMerge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Адаптивный -</w:t>
            </w:r>
            <w:r w:rsidRPr="000928C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Учёт в выборе методов и приёмов коммуникации особенностей конкретной педагогической ситуации, проявление способностей к рефлексивному анализу.</w:t>
            </w:r>
          </w:p>
        </w:tc>
      </w:tr>
      <w:tr w:rsidR="00FB5647" w:rsidRPr="000928C7" w:rsidTr="00FB5647">
        <w:tc>
          <w:tcPr>
            <w:tcW w:w="2087" w:type="dxa"/>
            <w:vMerge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Рефлексивно-творческий - </w:t>
            </w:r>
            <w:r w:rsidRPr="000928C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B5647" w:rsidRPr="000928C7" w:rsidRDefault="00FB5647" w:rsidP="000928C7">
            <w:pPr>
              <w:pStyle w:val="a4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B5647" w:rsidRPr="000928C7" w:rsidRDefault="00FB5647" w:rsidP="000928C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7">
              <w:rPr>
                <w:rFonts w:ascii="Times New Roman" w:hAnsi="Times New Roman" w:cs="Times New Roman"/>
                <w:sz w:val="24"/>
                <w:szCs w:val="24"/>
              </w:rPr>
              <w:t>Проявление коммуникативной компетентности как мотивированной способности к ценностно-смысловому, рефлексивному процессу моделирования конструктивного взаимодействия в ценностях развития.</w:t>
            </w:r>
          </w:p>
        </w:tc>
      </w:tr>
    </w:tbl>
    <w:p w:rsidR="00F85464" w:rsidRPr="005E564B" w:rsidRDefault="00552F74" w:rsidP="005E564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lastRenderedPageBreak/>
        <w:t>В результате проведённого исследования на базе МАДОУ №86</w:t>
      </w:r>
      <w:r w:rsidR="000A5C5B" w:rsidRPr="005E564B">
        <w:rPr>
          <w:rFonts w:ascii="Times New Roman" w:hAnsi="Times New Roman" w:cs="Times New Roman"/>
          <w:sz w:val="24"/>
          <w:szCs w:val="24"/>
        </w:rPr>
        <w:t xml:space="preserve"> г.Томска</w:t>
      </w:r>
      <w:r w:rsidRPr="005E564B">
        <w:rPr>
          <w:rFonts w:ascii="Times New Roman" w:hAnsi="Times New Roman" w:cs="Times New Roman"/>
          <w:sz w:val="24"/>
          <w:szCs w:val="24"/>
        </w:rPr>
        <w:t xml:space="preserve"> была</w:t>
      </w:r>
      <w:r w:rsidR="00F85464" w:rsidRPr="005E564B">
        <w:rPr>
          <w:rFonts w:ascii="Times New Roman" w:hAnsi="Times New Roman" w:cs="Times New Roman"/>
          <w:sz w:val="24"/>
          <w:szCs w:val="24"/>
        </w:rPr>
        <w:t xml:space="preserve"> </w:t>
      </w:r>
      <w:r w:rsidR="005D76D2" w:rsidRPr="005E564B">
        <w:rPr>
          <w:rFonts w:ascii="Times New Roman" w:hAnsi="Times New Roman" w:cs="Times New Roman"/>
          <w:sz w:val="24"/>
          <w:szCs w:val="24"/>
        </w:rPr>
        <w:t>изучена</w:t>
      </w:r>
      <w:r w:rsidR="00F85464" w:rsidRPr="005E564B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5D76D2" w:rsidRPr="005E564B">
        <w:rPr>
          <w:rFonts w:ascii="Times New Roman" w:hAnsi="Times New Roman" w:cs="Times New Roman"/>
          <w:sz w:val="24"/>
          <w:szCs w:val="24"/>
        </w:rPr>
        <w:t>а</w:t>
      </w:r>
      <w:r w:rsidR="00F85464" w:rsidRPr="005E564B">
        <w:rPr>
          <w:rFonts w:ascii="Times New Roman" w:hAnsi="Times New Roman" w:cs="Times New Roman"/>
          <w:sz w:val="24"/>
          <w:szCs w:val="24"/>
        </w:rPr>
        <w:t xml:space="preserve"> </w:t>
      </w:r>
      <w:r w:rsidR="005D76D2" w:rsidRPr="005E564B">
        <w:rPr>
          <w:rFonts w:ascii="Times New Roman" w:hAnsi="Times New Roman" w:cs="Times New Roman"/>
          <w:sz w:val="24"/>
          <w:szCs w:val="24"/>
        </w:rPr>
        <w:t>изменения</w:t>
      </w:r>
      <w:r w:rsidR="00F85464" w:rsidRPr="005E564B">
        <w:rPr>
          <w:rFonts w:ascii="Times New Roman" w:hAnsi="Times New Roman" w:cs="Times New Roman"/>
          <w:sz w:val="24"/>
          <w:szCs w:val="24"/>
        </w:rPr>
        <w:t xml:space="preserve"> коммуникативной </w:t>
      </w:r>
      <w:r w:rsidR="005D76D2" w:rsidRPr="005E564B">
        <w:rPr>
          <w:rFonts w:ascii="Times New Roman" w:hAnsi="Times New Roman" w:cs="Times New Roman"/>
          <w:sz w:val="24"/>
          <w:szCs w:val="24"/>
        </w:rPr>
        <w:t>открытости ДОУ</w:t>
      </w:r>
      <w:r w:rsidR="000A5C5B" w:rsidRPr="005E564B">
        <w:rPr>
          <w:rFonts w:ascii="Times New Roman" w:hAnsi="Times New Roman" w:cs="Times New Roman"/>
          <w:sz w:val="24"/>
          <w:szCs w:val="24"/>
        </w:rPr>
        <w:t xml:space="preserve"> в </w:t>
      </w:r>
      <w:r w:rsidR="004B789B">
        <w:rPr>
          <w:rFonts w:ascii="Times New Roman" w:hAnsi="Times New Roman" w:cs="Times New Roman"/>
          <w:sz w:val="24"/>
          <w:szCs w:val="24"/>
        </w:rPr>
        <w:t>соответствии с</w:t>
      </w:r>
      <w:r w:rsidR="000A5C5B" w:rsidRPr="005E564B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4B789B">
        <w:rPr>
          <w:rFonts w:ascii="Times New Roman" w:hAnsi="Times New Roman" w:cs="Times New Roman"/>
          <w:sz w:val="24"/>
          <w:szCs w:val="24"/>
        </w:rPr>
        <w:t>ями</w:t>
      </w:r>
      <w:r w:rsidR="000A5C5B" w:rsidRPr="005E564B">
        <w:rPr>
          <w:rFonts w:ascii="Times New Roman" w:hAnsi="Times New Roman" w:cs="Times New Roman"/>
          <w:sz w:val="24"/>
          <w:szCs w:val="24"/>
        </w:rPr>
        <w:t xml:space="preserve"> ФГОС ДО</w:t>
      </w:r>
      <w:r w:rsidR="004B789B">
        <w:rPr>
          <w:rFonts w:ascii="Times New Roman" w:hAnsi="Times New Roman" w:cs="Times New Roman"/>
          <w:sz w:val="24"/>
          <w:szCs w:val="24"/>
        </w:rPr>
        <w:t xml:space="preserve"> и в процессе организации эффективного сотрудничества с семьями воспитанников</w:t>
      </w:r>
      <w:r w:rsidR="00F85464" w:rsidRPr="005E5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837" w:rsidRPr="005E564B" w:rsidRDefault="000A5C5B" w:rsidP="00B1234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F3882" w:rsidRPr="005E564B">
        <w:rPr>
          <w:rFonts w:ascii="Times New Roman" w:eastAsia="Times New Roman" w:hAnsi="Times New Roman" w:cs="Times New Roman"/>
          <w:color w:val="000000"/>
          <w:sz w:val="24"/>
          <w:szCs w:val="24"/>
        </w:rPr>
        <w:t>нкетировани</w:t>
      </w:r>
      <w:r w:rsidRPr="005E56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F3882" w:rsidRPr="005E5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65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="00092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7F3882" w:rsidRPr="005E5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</w:t>
      </w:r>
      <w:r w:rsidR="00A4783D" w:rsidRPr="005E5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констатирующем этапе </w:t>
      </w:r>
      <w:r w:rsidRPr="005E5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проводилось </w:t>
      </w:r>
      <w:r w:rsidR="007F3882" w:rsidRPr="005E564B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методике диагнос</w:t>
      </w:r>
      <w:r w:rsidRPr="005E564B">
        <w:rPr>
          <w:rFonts w:ascii="Times New Roman" w:eastAsia="Times New Roman" w:hAnsi="Times New Roman" w:cs="Times New Roman"/>
          <w:color w:val="000000"/>
          <w:sz w:val="24"/>
          <w:szCs w:val="24"/>
        </w:rPr>
        <w:t>тики коммуникативной установки В. В. Бойко</w:t>
      </w:r>
      <w:r w:rsidR="00B12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5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234B">
        <w:rPr>
          <w:rFonts w:ascii="Times New Roman" w:hAnsi="Times New Roman" w:cs="Times New Roman"/>
          <w:sz w:val="24"/>
          <w:szCs w:val="24"/>
        </w:rPr>
        <w:t>Были</w:t>
      </w:r>
      <w:r w:rsidR="007F3882" w:rsidRPr="005E564B">
        <w:rPr>
          <w:rFonts w:ascii="Times New Roman" w:hAnsi="Times New Roman" w:cs="Times New Roman"/>
          <w:sz w:val="24"/>
          <w:szCs w:val="24"/>
        </w:rPr>
        <w:t xml:space="preserve"> </w:t>
      </w:r>
      <w:r w:rsidR="00B1234B">
        <w:rPr>
          <w:rFonts w:ascii="Times New Roman" w:hAnsi="Times New Roman" w:cs="Times New Roman"/>
          <w:sz w:val="24"/>
          <w:szCs w:val="24"/>
        </w:rPr>
        <w:t>определены</w:t>
      </w:r>
      <w:r w:rsidR="007F3882" w:rsidRPr="005E564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0928C7">
        <w:rPr>
          <w:rFonts w:ascii="Times New Roman" w:hAnsi="Times New Roman" w:cs="Times New Roman"/>
          <w:sz w:val="24"/>
          <w:szCs w:val="24"/>
        </w:rPr>
        <w:t xml:space="preserve">и </w:t>
      </w:r>
      <w:r w:rsidR="007F3882" w:rsidRPr="005E564B">
        <w:rPr>
          <w:rFonts w:ascii="Times New Roman" w:hAnsi="Times New Roman" w:cs="Times New Roman"/>
          <w:sz w:val="24"/>
          <w:szCs w:val="24"/>
        </w:rPr>
        <w:t>негативной составляющей</w:t>
      </w:r>
      <w:r w:rsidR="000928C7">
        <w:rPr>
          <w:rFonts w:ascii="Times New Roman" w:hAnsi="Times New Roman" w:cs="Times New Roman"/>
          <w:sz w:val="24"/>
          <w:szCs w:val="24"/>
        </w:rPr>
        <w:t xml:space="preserve"> установок</w:t>
      </w:r>
      <w:r w:rsidR="007F3882" w:rsidRPr="005E564B">
        <w:rPr>
          <w:rFonts w:ascii="Times New Roman" w:hAnsi="Times New Roman" w:cs="Times New Roman"/>
          <w:sz w:val="24"/>
          <w:szCs w:val="24"/>
        </w:rPr>
        <w:t xml:space="preserve">, что впоследствии </w:t>
      </w:r>
      <w:r w:rsidR="00153837" w:rsidRPr="005E564B">
        <w:rPr>
          <w:rFonts w:ascii="Times New Roman" w:hAnsi="Times New Roman" w:cs="Times New Roman"/>
          <w:sz w:val="24"/>
          <w:szCs w:val="24"/>
        </w:rPr>
        <w:t>актуализировало</w:t>
      </w:r>
      <w:r w:rsidR="007F3882" w:rsidRPr="005E564B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153837" w:rsidRPr="005E564B">
        <w:rPr>
          <w:rFonts w:ascii="Times New Roman" w:hAnsi="Times New Roman" w:cs="Times New Roman"/>
          <w:sz w:val="24"/>
          <w:szCs w:val="24"/>
        </w:rPr>
        <w:t>ние</w:t>
      </w:r>
      <w:r w:rsidR="007F3882" w:rsidRPr="005E564B">
        <w:rPr>
          <w:rFonts w:ascii="Times New Roman" w:hAnsi="Times New Roman" w:cs="Times New Roman"/>
          <w:sz w:val="24"/>
          <w:szCs w:val="24"/>
        </w:rPr>
        <w:t xml:space="preserve">   услови</w:t>
      </w:r>
      <w:r w:rsidR="00153837" w:rsidRPr="005E564B">
        <w:rPr>
          <w:rFonts w:ascii="Times New Roman" w:hAnsi="Times New Roman" w:cs="Times New Roman"/>
          <w:sz w:val="24"/>
          <w:szCs w:val="24"/>
        </w:rPr>
        <w:t>й</w:t>
      </w:r>
      <w:r w:rsidR="007F3882" w:rsidRPr="005E564B">
        <w:rPr>
          <w:rFonts w:ascii="Times New Roman" w:hAnsi="Times New Roman" w:cs="Times New Roman"/>
          <w:sz w:val="24"/>
          <w:szCs w:val="24"/>
        </w:rPr>
        <w:t xml:space="preserve"> коррекции в открытой коммуникативной среде ДОУ. </w:t>
      </w:r>
    </w:p>
    <w:p w:rsidR="00FA188A" w:rsidRPr="005E564B" w:rsidRDefault="00153837" w:rsidP="005E564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 xml:space="preserve">Процесс развития коммуникативной </w:t>
      </w:r>
      <w:r w:rsidR="00FA188A" w:rsidRPr="005E564B">
        <w:rPr>
          <w:rFonts w:ascii="Times New Roman" w:hAnsi="Times New Roman" w:cs="Times New Roman"/>
          <w:sz w:val="24"/>
          <w:szCs w:val="24"/>
        </w:rPr>
        <w:t>открытости ДОУ</w:t>
      </w:r>
      <w:r w:rsidRPr="005E564B">
        <w:rPr>
          <w:rFonts w:ascii="Times New Roman" w:hAnsi="Times New Roman" w:cs="Times New Roman"/>
          <w:sz w:val="24"/>
          <w:szCs w:val="24"/>
        </w:rPr>
        <w:t xml:space="preserve"> представляет собой поэтапную дифференциацию её основных структурных компонентов</w:t>
      </w:r>
      <w:r w:rsidR="00FA188A" w:rsidRPr="005E564B">
        <w:rPr>
          <w:rFonts w:ascii="Times New Roman" w:hAnsi="Times New Roman" w:cs="Times New Roman"/>
          <w:sz w:val="24"/>
          <w:szCs w:val="24"/>
        </w:rPr>
        <w:t xml:space="preserve"> (</w:t>
      </w:r>
      <w:r w:rsidR="00473612">
        <w:rPr>
          <w:rFonts w:ascii="Times New Roman" w:hAnsi="Times New Roman" w:cs="Times New Roman"/>
          <w:sz w:val="24"/>
          <w:szCs w:val="24"/>
        </w:rPr>
        <w:t>Таблица 3</w:t>
      </w:r>
      <w:r w:rsidR="00FA188A" w:rsidRPr="005E564B">
        <w:rPr>
          <w:rFonts w:ascii="Times New Roman" w:hAnsi="Times New Roman" w:cs="Times New Roman"/>
          <w:sz w:val="24"/>
          <w:szCs w:val="24"/>
        </w:rPr>
        <w:t>)</w:t>
      </w:r>
      <w:r w:rsidRPr="005E564B">
        <w:rPr>
          <w:rFonts w:ascii="Times New Roman" w:hAnsi="Times New Roman" w:cs="Times New Roman"/>
          <w:sz w:val="24"/>
          <w:szCs w:val="24"/>
        </w:rPr>
        <w:t xml:space="preserve">, которые приобретают определённую самостоятельную значимость при решении профессионально-коммуникативных задач, совершенствуются и углубляются, а внутри образовательной практики </w:t>
      </w:r>
      <w:r w:rsidR="00FA188A" w:rsidRPr="005E564B">
        <w:rPr>
          <w:rFonts w:ascii="Times New Roman" w:hAnsi="Times New Roman" w:cs="Times New Roman"/>
          <w:sz w:val="24"/>
          <w:szCs w:val="24"/>
        </w:rPr>
        <w:t>ДОУ</w:t>
      </w:r>
      <w:r w:rsidRPr="005E564B">
        <w:rPr>
          <w:rFonts w:ascii="Times New Roman" w:hAnsi="Times New Roman" w:cs="Times New Roman"/>
          <w:sz w:val="24"/>
          <w:szCs w:val="24"/>
        </w:rPr>
        <w:t xml:space="preserve"> постепенно теряют автономию и интегрируются в един</w:t>
      </w:r>
      <w:r w:rsidR="00FA188A" w:rsidRPr="005E564B">
        <w:rPr>
          <w:rFonts w:ascii="Times New Roman" w:hAnsi="Times New Roman" w:cs="Times New Roman"/>
          <w:sz w:val="24"/>
          <w:szCs w:val="24"/>
        </w:rPr>
        <w:t>ый</w:t>
      </w:r>
      <w:r w:rsidRPr="005E564B">
        <w:rPr>
          <w:rFonts w:ascii="Times New Roman" w:hAnsi="Times New Roman" w:cs="Times New Roman"/>
          <w:sz w:val="24"/>
          <w:szCs w:val="24"/>
        </w:rPr>
        <w:t xml:space="preserve"> структурно-организованн</w:t>
      </w:r>
      <w:r w:rsidR="00FA188A" w:rsidRPr="005E564B">
        <w:rPr>
          <w:rFonts w:ascii="Times New Roman" w:hAnsi="Times New Roman" w:cs="Times New Roman"/>
          <w:sz w:val="24"/>
          <w:szCs w:val="24"/>
        </w:rPr>
        <w:t xml:space="preserve">ый процесс. </w:t>
      </w:r>
    </w:p>
    <w:p w:rsidR="00153837" w:rsidRPr="005E564B" w:rsidRDefault="00153837" w:rsidP="005E564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 xml:space="preserve"> На начальном этапе </w:t>
      </w:r>
      <w:r w:rsidR="00FA188A" w:rsidRPr="005E564B">
        <w:rPr>
          <w:rFonts w:ascii="Times New Roman" w:hAnsi="Times New Roman" w:cs="Times New Roman"/>
          <w:sz w:val="24"/>
          <w:szCs w:val="24"/>
        </w:rPr>
        <w:t>формирования</w:t>
      </w:r>
      <w:r w:rsidRPr="005E564B">
        <w:rPr>
          <w:rFonts w:ascii="Times New Roman" w:hAnsi="Times New Roman" w:cs="Times New Roman"/>
          <w:sz w:val="24"/>
          <w:szCs w:val="24"/>
        </w:rPr>
        <w:t xml:space="preserve"> коммуникативной </w:t>
      </w:r>
      <w:r w:rsidR="00FA188A" w:rsidRPr="005E564B">
        <w:rPr>
          <w:rFonts w:ascii="Times New Roman" w:hAnsi="Times New Roman" w:cs="Times New Roman"/>
          <w:sz w:val="24"/>
          <w:szCs w:val="24"/>
        </w:rPr>
        <w:t>открытости ДОУ</w:t>
      </w:r>
      <w:r w:rsidRPr="005E564B">
        <w:rPr>
          <w:rFonts w:ascii="Times New Roman" w:hAnsi="Times New Roman" w:cs="Times New Roman"/>
          <w:sz w:val="24"/>
          <w:szCs w:val="24"/>
        </w:rPr>
        <w:t xml:space="preserve"> </w:t>
      </w:r>
      <w:r w:rsidR="00FA188A" w:rsidRPr="005E564B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 w:rsidRPr="005E564B">
        <w:rPr>
          <w:rFonts w:ascii="Times New Roman" w:hAnsi="Times New Roman" w:cs="Times New Roman"/>
          <w:sz w:val="24"/>
          <w:szCs w:val="24"/>
        </w:rPr>
        <w:t>знания и технологии применя</w:t>
      </w:r>
      <w:r w:rsidR="00FA188A" w:rsidRPr="005E564B">
        <w:rPr>
          <w:rFonts w:ascii="Times New Roman" w:hAnsi="Times New Roman" w:cs="Times New Roman"/>
          <w:sz w:val="24"/>
          <w:szCs w:val="24"/>
        </w:rPr>
        <w:t>лись</w:t>
      </w:r>
      <w:r w:rsidRPr="005E564B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A188A" w:rsidRPr="005E564B">
        <w:rPr>
          <w:rFonts w:ascii="Times New Roman" w:hAnsi="Times New Roman" w:cs="Times New Roman"/>
          <w:sz w:val="24"/>
          <w:szCs w:val="24"/>
        </w:rPr>
        <w:t>ами</w:t>
      </w:r>
      <w:r w:rsidRPr="005E564B">
        <w:rPr>
          <w:rFonts w:ascii="Times New Roman" w:hAnsi="Times New Roman" w:cs="Times New Roman"/>
          <w:sz w:val="24"/>
          <w:szCs w:val="24"/>
        </w:rPr>
        <w:t xml:space="preserve"> фрагментарно и ситуативно, преимущественно на основе интуитивных компетенций.</w:t>
      </w:r>
    </w:p>
    <w:p w:rsidR="00153837" w:rsidRPr="005E564B" w:rsidRDefault="00153837" w:rsidP="005E56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Далее, в процессе решения коммуникативных задач складыва</w:t>
      </w:r>
      <w:r w:rsidR="00FA188A" w:rsidRPr="005E564B">
        <w:rPr>
          <w:rFonts w:ascii="Times New Roman" w:hAnsi="Times New Roman" w:cs="Times New Roman"/>
          <w:sz w:val="24"/>
          <w:szCs w:val="24"/>
        </w:rPr>
        <w:t>лась</w:t>
      </w:r>
      <w:r w:rsidRPr="005E564B">
        <w:rPr>
          <w:rFonts w:ascii="Times New Roman" w:hAnsi="Times New Roman" w:cs="Times New Roman"/>
          <w:sz w:val="24"/>
          <w:szCs w:val="24"/>
        </w:rPr>
        <w:t xml:space="preserve"> практическая основа для развития коммуникативной </w:t>
      </w:r>
      <w:r w:rsidR="00FA188A" w:rsidRPr="005E564B">
        <w:rPr>
          <w:rFonts w:ascii="Times New Roman" w:hAnsi="Times New Roman" w:cs="Times New Roman"/>
          <w:sz w:val="24"/>
          <w:szCs w:val="24"/>
        </w:rPr>
        <w:t>открытости</w:t>
      </w:r>
      <w:r w:rsidRPr="005E564B">
        <w:rPr>
          <w:rFonts w:ascii="Times New Roman" w:hAnsi="Times New Roman" w:cs="Times New Roman"/>
          <w:sz w:val="24"/>
          <w:szCs w:val="24"/>
        </w:rPr>
        <w:t>. Усилива</w:t>
      </w:r>
      <w:r w:rsidR="00FA188A" w:rsidRPr="005E564B">
        <w:rPr>
          <w:rFonts w:ascii="Times New Roman" w:hAnsi="Times New Roman" w:cs="Times New Roman"/>
          <w:sz w:val="24"/>
          <w:szCs w:val="24"/>
        </w:rPr>
        <w:t>лся</w:t>
      </w:r>
      <w:r w:rsidRPr="005E564B">
        <w:rPr>
          <w:rFonts w:ascii="Times New Roman" w:hAnsi="Times New Roman" w:cs="Times New Roman"/>
          <w:sz w:val="24"/>
          <w:szCs w:val="24"/>
        </w:rPr>
        <w:t xml:space="preserve"> процесс дифференциации. </w:t>
      </w:r>
      <w:r w:rsidR="00A45F8C" w:rsidRPr="005E564B">
        <w:rPr>
          <w:rFonts w:ascii="Times New Roman" w:hAnsi="Times New Roman" w:cs="Times New Roman"/>
          <w:sz w:val="24"/>
          <w:szCs w:val="24"/>
        </w:rPr>
        <w:t>О</w:t>
      </w:r>
      <w:r w:rsidRPr="005E564B">
        <w:rPr>
          <w:rFonts w:ascii="Times New Roman" w:hAnsi="Times New Roman" w:cs="Times New Roman"/>
          <w:sz w:val="24"/>
          <w:szCs w:val="24"/>
        </w:rPr>
        <w:t>пыт реализации педагогических задач в реальных ситуациях образовательной практики существенно дополня</w:t>
      </w:r>
      <w:r w:rsidR="00FA188A" w:rsidRPr="005E564B">
        <w:rPr>
          <w:rFonts w:ascii="Times New Roman" w:hAnsi="Times New Roman" w:cs="Times New Roman"/>
          <w:sz w:val="24"/>
          <w:szCs w:val="24"/>
        </w:rPr>
        <w:t>лся</w:t>
      </w:r>
      <w:r w:rsidRPr="005E564B">
        <w:rPr>
          <w:rFonts w:ascii="Times New Roman" w:hAnsi="Times New Roman" w:cs="Times New Roman"/>
          <w:sz w:val="24"/>
          <w:szCs w:val="24"/>
        </w:rPr>
        <w:t xml:space="preserve"> личным позитивным опытом, приобретаемым в том числе, в ходе решения </w:t>
      </w:r>
      <w:r w:rsidR="00FA188A" w:rsidRPr="005E564B">
        <w:rPr>
          <w:rFonts w:ascii="Times New Roman" w:hAnsi="Times New Roman" w:cs="Times New Roman"/>
          <w:sz w:val="24"/>
          <w:szCs w:val="24"/>
        </w:rPr>
        <w:t>проблем</w:t>
      </w:r>
      <w:r w:rsidRPr="005E564B">
        <w:rPr>
          <w:rFonts w:ascii="Times New Roman" w:hAnsi="Times New Roman" w:cs="Times New Roman"/>
          <w:sz w:val="24"/>
          <w:szCs w:val="24"/>
        </w:rPr>
        <w:t xml:space="preserve"> и организации ситуаций </w:t>
      </w:r>
      <w:r w:rsidR="00FA188A" w:rsidRPr="005E564B">
        <w:rPr>
          <w:rFonts w:ascii="Times New Roman" w:hAnsi="Times New Roman" w:cs="Times New Roman"/>
          <w:sz w:val="24"/>
          <w:szCs w:val="24"/>
        </w:rPr>
        <w:t>коммуникативного взаимодействия</w:t>
      </w:r>
      <w:r w:rsidRPr="005E564B">
        <w:rPr>
          <w:rFonts w:ascii="Times New Roman" w:hAnsi="Times New Roman" w:cs="Times New Roman"/>
          <w:sz w:val="24"/>
          <w:szCs w:val="24"/>
        </w:rPr>
        <w:t>.</w:t>
      </w:r>
    </w:p>
    <w:p w:rsidR="00153837" w:rsidRPr="005E564B" w:rsidRDefault="00153837" w:rsidP="005E56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 xml:space="preserve">Процесс целенаправленного развития коммуникативной </w:t>
      </w:r>
      <w:r w:rsidR="00A45F8C" w:rsidRPr="005E564B">
        <w:rPr>
          <w:rFonts w:ascii="Times New Roman" w:hAnsi="Times New Roman" w:cs="Times New Roman"/>
          <w:sz w:val="24"/>
          <w:szCs w:val="24"/>
        </w:rPr>
        <w:t>открытости ДОУ</w:t>
      </w:r>
      <w:r w:rsidRPr="005E564B">
        <w:rPr>
          <w:rFonts w:ascii="Times New Roman" w:hAnsi="Times New Roman" w:cs="Times New Roman"/>
          <w:sz w:val="24"/>
          <w:szCs w:val="24"/>
        </w:rPr>
        <w:t xml:space="preserve"> вы</w:t>
      </w:r>
      <w:r w:rsidR="00473612">
        <w:rPr>
          <w:rFonts w:ascii="Times New Roman" w:hAnsi="Times New Roman" w:cs="Times New Roman"/>
          <w:sz w:val="24"/>
          <w:szCs w:val="24"/>
        </w:rPr>
        <w:t>явил</w:t>
      </w:r>
      <w:r w:rsidRPr="005E564B">
        <w:rPr>
          <w:rFonts w:ascii="Times New Roman" w:hAnsi="Times New Roman" w:cs="Times New Roman"/>
          <w:sz w:val="24"/>
          <w:szCs w:val="24"/>
        </w:rPr>
        <w:t xml:space="preserve"> наиболее оптимальны</w:t>
      </w:r>
      <w:r w:rsidR="00473612">
        <w:rPr>
          <w:rFonts w:ascii="Times New Roman" w:hAnsi="Times New Roman" w:cs="Times New Roman"/>
          <w:sz w:val="24"/>
          <w:szCs w:val="24"/>
        </w:rPr>
        <w:t>е</w:t>
      </w:r>
      <w:r w:rsidRPr="005E564B">
        <w:rPr>
          <w:rFonts w:ascii="Times New Roman" w:hAnsi="Times New Roman" w:cs="Times New Roman"/>
          <w:sz w:val="24"/>
          <w:szCs w:val="24"/>
        </w:rPr>
        <w:t xml:space="preserve"> пут</w:t>
      </w:r>
      <w:r w:rsidR="00473612">
        <w:rPr>
          <w:rFonts w:ascii="Times New Roman" w:hAnsi="Times New Roman" w:cs="Times New Roman"/>
          <w:sz w:val="24"/>
          <w:szCs w:val="24"/>
        </w:rPr>
        <w:t>и</w:t>
      </w:r>
      <w:r w:rsidRPr="005E564B">
        <w:rPr>
          <w:rFonts w:ascii="Times New Roman" w:hAnsi="Times New Roman" w:cs="Times New Roman"/>
          <w:sz w:val="24"/>
          <w:szCs w:val="24"/>
        </w:rPr>
        <w:t>, услови</w:t>
      </w:r>
      <w:r w:rsidR="00473612">
        <w:rPr>
          <w:rFonts w:ascii="Times New Roman" w:hAnsi="Times New Roman" w:cs="Times New Roman"/>
          <w:sz w:val="24"/>
          <w:szCs w:val="24"/>
        </w:rPr>
        <w:t>я</w:t>
      </w:r>
      <w:r w:rsidRPr="005E564B">
        <w:rPr>
          <w:rFonts w:ascii="Times New Roman" w:hAnsi="Times New Roman" w:cs="Times New Roman"/>
          <w:sz w:val="24"/>
          <w:szCs w:val="24"/>
        </w:rPr>
        <w:t xml:space="preserve"> и средств</w:t>
      </w:r>
      <w:r w:rsidR="00473612">
        <w:rPr>
          <w:rFonts w:ascii="Times New Roman" w:hAnsi="Times New Roman" w:cs="Times New Roman"/>
          <w:sz w:val="24"/>
          <w:szCs w:val="24"/>
        </w:rPr>
        <w:t>а</w:t>
      </w:r>
      <w:r w:rsidRPr="005E564B">
        <w:rPr>
          <w:rFonts w:ascii="Times New Roman" w:hAnsi="Times New Roman" w:cs="Times New Roman"/>
          <w:sz w:val="24"/>
          <w:szCs w:val="24"/>
        </w:rPr>
        <w:t xml:space="preserve"> её развития в образовательной практике дошкольного образовательного учреждения.</w:t>
      </w:r>
    </w:p>
    <w:p w:rsidR="00544324" w:rsidRPr="005E564B" w:rsidRDefault="00A45F8C" w:rsidP="005E564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Деятельностный компонент коммуникативной открытости ДОУ предполагал включение педагогов в исследовательскую деятельность внутри образовательной практики</w:t>
      </w:r>
      <w:r w:rsidR="00473612">
        <w:rPr>
          <w:rFonts w:ascii="Times New Roman" w:hAnsi="Times New Roman" w:cs="Times New Roman"/>
          <w:sz w:val="24"/>
          <w:szCs w:val="24"/>
        </w:rPr>
        <w:t>.</w:t>
      </w:r>
      <w:r w:rsidRPr="005E564B">
        <w:rPr>
          <w:rFonts w:ascii="Times New Roman" w:hAnsi="Times New Roman" w:cs="Times New Roman"/>
          <w:sz w:val="24"/>
          <w:szCs w:val="24"/>
        </w:rPr>
        <w:t xml:space="preserve"> Ведение протоколов включённого наблюдения за общением и взаимодействием </w:t>
      </w:r>
      <w:r w:rsidR="00544324" w:rsidRPr="005E564B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Pr="005E564B">
        <w:rPr>
          <w:rFonts w:ascii="Times New Roman" w:hAnsi="Times New Roman" w:cs="Times New Roman"/>
          <w:sz w:val="24"/>
          <w:szCs w:val="24"/>
        </w:rPr>
        <w:t xml:space="preserve">предполагало разную локализацию: бытовые </w:t>
      </w:r>
      <w:r w:rsidR="00544324" w:rsidRPr="005E564B">
        <w:rPr>
          <w:rFonts w:ascii="Times New Roman" w:hAnsi="Times New Roman" w:cs="Times New Roman"/>
          <w:sz w:val="24"/>
          <w:szCs w:val="24"/>
        </w:rPr>
        <w:t>ситуации общения</w:t>
      </w:r>
      <w:r w:rsidR="00473612">
        <w:rPr>
          <w:rFonts w:ascii="Times New Roman" w:hAnsi="Times New Roman" w:cs="Times New Roman"/>
          <w:sz w:val="24"/>
          <w:szCs w:val="24"/>
        </w:rPr>
        <w:t>,</w:t>
      </w:r>
      <w:r w:rsidRPr="005E564B">
        <w:rPr>
          <w:rFonts w:ascii="Times New Roman" w:hAnsi="Times New Roman" w:cs="Times New Roman"/>
          <w:sz w:val="24"/>
          <w:szCs w:val="24"/>
        </w:rPr>
        <w:t xml:space="preserve"> </w:t>
      </w:r>
      <w:r w:rsidR="00544324" w:rsidRPr="005E564B">
        <w:rPr>
          <w:rFonts w:ascii="Times New Roman" w:hAnsi="Times New Roman" w:cs="Times New Roman"/>
          <w:sz w:val="24"/>
          <w:szCs w:val="24"/>
        </w:rPr>
        <w:t>образовательная</w:t>
      </w:r>
      <w:r w:rsidR="00473612">
        <w:rPr>
          <w:rFonts w:ascii="Times New Roman" w:hAnsi="Times New Roman" w:cs="Times New Roman"/>
          <w:sz w:val="24"/>
          <w:szCs w:val="24"/>
        </w:rPr>
        <w:t xml:space="preserve"> деятельность,</w:t>
      </w:r>
      <w:r w:rsidRPr="005E564B">
        <w:rPr>
          <w:rFonts w:ascii="Times New Roman" w:hAnsi="Times New Roman" w:cs="Times New Roman"/>
          <w:sz w:val="24"/>
          <w:szCs w:val="24"/>
        </w:rPr>
        <w:t xml:space="preserve"> </w:t>
      </w:r>
      <w:r w:rsidR="00544324" w:rsidRPr="005E564B">
        <w:rPr>
          <w:rFonts w:ascii="Times New Roman" w:hAnsi="Times New Roman" w:cs="Times New Roman"/>
          <w:sz w:val="24"/>
          <w:szCs w:val="24"/>
        </w:rPr>
        <w:t>взаимодействие вне стен ДОУ</w:t>
      </w:r>
      <w:r w:rsidR="00473612">
        <w:rPr>
          <w:rFonts w:ascii="Times New Roman" w:hAnsi="Times New Roman" w:cs="Times New Roman"/>
          <w:sz w:val="24"/>
          <w:szCs w:val="24"/>
        </w:rPr>
        <w:t>,</w:t>
      </w:r>
      <w:r w:rsidRPr="005E564B">
        <w:rPr>
          <w:rFonts w:ascii="Times New Roman" w:hAnsi="Times New Roman" w:cs="Times New Roman"/>
          <w:sz w:val="24"/>
          <w:szCs w:val="24"/>
        </w:rPr>
        <w:t xml:space="preserve"> </w:t>
      </w:r>
      <w:r w:rsidR="00544324" w:rsidRPr="005E564B">
        <w:rPr>
          <w:rFonts w:ascii="Times New Roman" w:hAnsi="Times New Roman" w:cs="Times New Roman"/>
          <w:sz w:val="24"/>
          <w:szCs w:val="24"/>
        </w:rPr>
        <w:t xml:space="preserve">совместная </w:t>
      </w:r>
      <w:r w:rsidRPr="005E564B">
        <w:rPr>
          <w:rFonts w:ascii="Times New Roman" w:hAnsi="Times New Roman" w:cs="Times New Roman"/>
          <w:sz w:val="24"/>
          <w:szCs w:val="24"/>
        </w:rPr>
        <w:t>конструктивная деятельность. По результатам наблюдени</w:t>
      </w:r>
      <w:r w:rsidR="00544324" w:rsidRPr="005E564B">
        <w:rPr>
          <w:rFonts w:ascii="Times New Roman" w:hAnsi="Times New Roman" w:cs="Times New Roman"/>
          <w:sz w:val="24"/>
          <w:szCs w:val="24"/>
        </w:rPr>
        <w:t>й</w:t>
      </w:r>
      <w:r w:rsidR="00A4783D" w:rsidRPr="005E564B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5E564B">
        <w:rPr>
          <w:rFonts w:ascii="Times New Roman" w:hAnsi="Times New Roman" w:cs="Times New Roman"/>
          <w:sz w:val="24"/>
          <w:szCs w:val="24"/>
        </w:rPr>
        <w:t xml:space="preserve"> планировал</w:t>
      </w:r>
      <w:r w:rsidR="00544324" w:rsidRPr="005E564B">
        <w:rPr>
          <w:rFonts w:ascii="Times New Roman" w:hAnsi="Times New Roman" w:cs="Times New Roman"/>
          <w:sz w:val="24"/>
          <w:szCs w:val="24"/>
        </w:rPr>
        <w:t>ась</w:t>
      </w:r>
      <w:r w:rsidRPr="005E564B">
        <w:rPr>
          <w:rFonts w:ascii="Times New Roman" w:hAnsi="Times New Roman" w:cs="Times New Roman"/>
          <w:sz w:val="24"/>
          <w:szCs w:val="24"/>
        </w:rPr>
        <w:t xml:space="preserve"> коррекционно-развивающ</w:t>
      </w:r>
      <w:r w:rsidR="00544324" w:rsidRPr="005E564B">
        <w:rPr>
          <w:rFonts w:ascii="Times New Roman" w:hAnsi="Times New Roman" w:cs="Times New Roman"/>
          <w:sz w:val="24"/>
          <w:szCs w:val="24"/>
        </w:rPr>
        <w:t>ая</w:t>
      </w:r>
      <w:r w:rsidRPr="005E564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44324" w:rsidRPr="005E564B">
        <w:rPr>
          <w:rFonts w:ascii="Times New Roman" w:hAnsi="Times New Roman" w:cs="Times New Roman"/>
          <w:sz w:val="24"/>
          <w:szCs w:val="24"/>
        </w:rPr>
        <w:t>а</w:t>
      </w:r>
      <w:r w:rsidR="00A4783D" w:rsidRPr="005E564B">
        <w:rPr>
          <w:rFonts w:ascii="Times New Roman" w:hAnsi="Times New Roman" w:cs="Times New Roman"/>
          <w:sz w:val="24"/>
          <w:szCs w:val="24"/>
        </w:rPr>
        <w:t xml:space="preserve"> всех специалистов ДОУ</w:t>
      </w:r>
      <w:r w:rsidR="00473612">
        <w:rPr>
          <w:rFonts w:ascii="Times New Roman" w:hAnsi="Times New Roman" w:cs="Times New Roman"/>
          <w:sz w:val="24"/>
          <w:szCs w:val="24"/>
        </w:rPr>
        <w:t xml:space="preserve"> в направлении оказания реальной помощи педагогам.</w:t>
      </w:r>
    </w:p>
    <w:p w:rsidR="005D01A2" w:rsidRPr="005E564B" w:rsidRDefault="00A45F8C" w:rsidP="005E564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A4783D" w:rsidRPr="005E564B">
        <w:rPr>
          <w:rFonts w:ascii="Times New Roman" w:hAnsi="Times New Roman" w:cs="Times New Roman"/>
          <w:sz w:val="24"/>
          <w:szCs w:val="24"/>
        </w:rPr>
        <w:t xml:space="preserve">специалисты, </w:t>
      </w:r>
      <w:r w:rsidR="00544324" w:rsidRPr="005E564B">
        <w:rPr>
          <w:rFonts w:ascii="Times New Roman" w:hAnsi="Times New Roman" w:cs="Times New Roman"/>
          <w:sz w:val="24"/>
          <w:szCs w:val="24"/>
        </w:rPr>
        <w:t>заведующий</w:t>
      </w:r>
      <w:r w:rsidR="00A4783D" w:rsidRPr="005E564B">
        <w:rPr>
          <w:rFonts w:ascii="Times New Roman" w:hAnsi="Times New Roman" w:cs="Times New Roman"/>
          <w:sz w:val="24"/>
          <w:szCs w:val="24"/>
        </w:rPr>
        <w:t xml:space="preserve"> и старшие воспитатели</w:t>
      </w:r>
      <w:r w:rsidR="00544324" w:rsidRPr="005E564B">
        <w:rPr>
          <w:rFonts w:ascii="Times New Roman" w:hAnsi="Times New Roman" w:cs="Times New Roman"/>
          <w:sz w:val="24"/>
          <w:szCs w:val="24"/>
        </w:rPr>
        <w:t xml:space="preserve"> выступали в качестве </w:t>
      </w:r>
      <w:r w:rsidRPr="005E564B">
        <w:rPr>
          <w:rFonts w:ascii="Times New Roman" w:hAnsi="Times New Roman" w:cs="Times New Roman"/>
          <w:sz w:val="24"/>
          <w:szCs w:val="24"/>
        </w:rPr>
        <w:t>экспертов</w:t>
      </w:r>
      <w:r w:rsidR="00544324" w:rsidRPr="005E564B">
        <w:rPr>
          <w:rFonts w:ascii="Times New Roman" w:hAnsi="Times New Roman" w:cs="Times New Roman"/>
          <w:sz w:val="24"/>
          <w:szCs w:val="24"/>
        </w:rPr>
        <w:t xml:space="preserve"> </w:t>
      </w:r>
      <w:r w:rsidRPr="005E564B">
        <w:rPr>
          <w:rFonts w:ascii="Times New Roman" w:hAnsi="Times New Roman" w:cs="Times New Roman"/>
          <w:sz w:val="24"/>
          <w:szCs w:val="24"/>
        </w:rPr>
        <w:t xml:space="preserve">по оценке коммуникативной </w:t>
      </w:r>
      <w:r w:rsidR="00544324" w:rsidRPr="005E564B">
        <w:rPr>
          <w:rFonts w:ascii="Times New Roman" w:hAnsi="Times New Roman" w:cs="Times New Roman"/>
          <w:sz w:val="24"/>
          <w:szCs w:val="24"/>
        </w:rPr>
        <w:t>открытости ДОУ</w:t>
      </w:r>
      <w:r w:rsidRPr="005E564B">
        <w:rPr>
          <w:rFonts w:ascii="Times New Roman" w:hAnsi="Times New Roman" w:cs="Times New Roman"/>
          <w:sz w:val="24"/>
          <w:szCs w:val="24"/>
        </w:rPr>
        <w:t>. Экспертные оценки проводились в индивидуальном и групповом режиме.</w:t>
      </w:r>
      <w:r w:rsidR="00544324" w:rsidRPr="005E564B">
        <w:rPr>
          <w:rFonts w:ascii="Times New Roman" w:hAnsi="Times New Roman" w:cs="Times New Roman"/>
          <w:sz w:val="24"/>
          <w:szCs w:val="24"/>
        </w:rPr>
        <w:t xml:space="preserve"> </w:t>
      </w:r>
      <w:r w:rsidRPr="005E564B">
        <w:rPr>
          <w:rFonts w:ascii="Times New Roman" w:hAnsi="Times New Roman" w:cs="Times New Roman"/>
          <w:sz w:val="24"/>
          <w:szCs w:val="24"/>
        </w:rPr>
        <w:t xml:space="preserve">Индивидуальный режим заполнения экспертных карт проводился посредством включённого наблюдения одного эксперта за характером коммуникативного взаимодействия воспитателя с родителями воспитанников, воспитателя с коллегами. Для этого эксперт лично присутствовал во время организации образовательной деятельности в группе, на родительской встрече, в моменты проведения различных форм профессионального взаимодействия (семинары, педсоветы, информационные летучки, круглые столы и др.). </w:t>
      </w:r>
      <w:r w:rsidR="005D01A2" w:rsidRPr="005E564B">
        <w:rPr>
          <w:rFonts w:ascii="Times New Roman" w:hAnsi="Times New Roman" w:cs="Times New Roman"/>
          <w:sz w:val="24"/>
          <w:szCs w:val="24"/>
        </w:rPr>
        <w:t xml:space="preserve"> Групповые экс</w:t>
      </w:r>
      <w:r w:rsidR="00473612">
        <w:rPr>
          <w:rFonts w:ascii="Times New Roman" w:hAnsi="Times New Roman" w:cs="Times New Roman"/>
          <w:sz w:val="24"/>
          <w:szCs w:val="24"/>
        </w:rPr>
        <w:t xml:space="preserve">пертные оценки основывались на </w:t>
      </w:r>
      <w:r w:rsidR="005D01A2" w:rsidRPr="005E564B">
        <w:rPr>
          <w:rFonts w:ascii="Times New Roman" w:hAnsi="Times New Roman" w:cs="Times New Roman"/>
          <w:sz w:val="24"/>
          <w:szCs w:val="24"/>
        </w:rPr>
        <w:t>моделировани</w:t>
      </w:r>
      <w:r w:rsidR="00473612">
        <w:rPr>
          <w:rFonts w:ascii="Times New Roman" w:hAnsi="Times New Roman" w:cs="Times New Roman"/>
          <w:sz w:val="24"/>
          <w:szCs w:val="24"/>
        </w:rPr>
        <w:t xml:space="preserve">и </w:t>
      </w:r>
      <w:r w:rsidR="005D01A2" w:rsidRPr="005E564B">
        <w:rPr>
          <w:rFonts w:ascii="Times New Roman" w:hAnsi="Times New Roman" w:cs="Times New Roman"/>
          <w:sz w:val="24"/>
          <w:szCs w:val="24"/>
        </w:rPr>
        <w:t>жизненных и профессиональных ситуаций коммуникативного взаимодействия. С использованием ролевых игр, педагоги, не получая знания в готовом виде, конструировали их самостоятельно в группе.</w:t>
      </w:r>
    </w:p>
    <w:p w:rsidR="00A45F8C" w:rsidRPr="005E564B" w:rsidRDefault="00A45F8C" w:rsidP="005E564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Интерактивные технологии ведения рефлексивных семинаров</w:t>
      </w:r>
      <w:r w:rsidR="005D01A2" w:rsidRPr="005E564B">
        <w:rPr>
          <w:rFonts w:ascii="Times New Roman" w:hAnsi="Times New Roman" w:cs="Times New Roman"/>
          <w:sz w:val="24"/>
          <w:szCs w:val="24"/>
        </w:rPr>
        <w:t xml:space="preserve"> и встреч с родителями воспитанников</w:t>
      </w:r>
      <w:r w:rsidRPr="005E564B">
        <w:rPr>
          <w:rFonts w:ascii="Times New Roman" w:hAnsi="Times New Roman" w:cs="Times New Roman"/>
          <w:sz w:val="24"/>
          <w:szCs w:val="24"/>
        </w:rPr>
        <w:t xml:space="preserve"> создавали комфортные условия взаимодействия: «вперёд и вместе», «через живое общение», «через работу в группах, где каждый – субъект познания нового». </w:t>
      </w:r>
    </w:p>
    <w:p w:rsidR="00A45F8C" w:rsidRPr="005E564B" w:rsidRDefault="00A45F8C" w:rsidP="005E564B">
      <w:pPr>
        <w:pStyle w:val="a5"/>
        <w:suppressAutoHyphens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5E564B">
        <w:t xml:space="preserve">Ситуационно-ролевое моделирование определяло применение таких форм </w:t>
      </w:r>
      <w:r w:rsidR="005D01A2" w:rsidRPr="005E564B">
        <w:t>педагогического</w:t>
      </w:r>
      <w:r w:rsidRPr="005E564B">
        <w:t xml:space="preserve"> взаимодействия как - </w:t>
      </w:r>
      <w:r w:rsidRPr="005E564B">
        <w:rPr>
          <w:color w:val="000000" w:themeColor="text1"/>
        </w:rPr>
        <w:t>ситуации-иллюстрации, ситуации-упражнения, ситуации-проблемы.</w:t>
      </w:r>
    </w:p>
    <w:p w:rsidR="00A45F8C" w:rsidRPr="005E564B" w:rsidRDefault="00A45F8C" w:rsidP="005E564B">
      <w:pPr>
        <w:pStyle w:val="a5"/>
        <w:suppressAutoHyphens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5E564B">
        <w:rPr>
          <w:color w:val="000000" w:themeColor="text1"/>
        </w:rPr>
        <w:t xml:space="preserve">Ситуации-иллюстрации эффективно использовались в ходе знакомства с теоретическим материалом с целью пояснения отдельных его положений. При этом в качестве иллюстрации использовались как модели культурной практики, так и модели личных педагогических ситуаций. </w:t>
      </w:r>
    </w:p>
    <w:p w:rsidR="00A45F8C" w:rsidRPr="005E564B" w:rsidRDefault="00A45F8C" w:rsidP="005E564B">
      <w:pPr>
        <w:pStyle w:val="a5"/>
        <w:suppressAutoHyphens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5E564B">
        <w:rPr>
          <w:color w:val="000000" w:themeColor="text1"/>
        </w:rPr>
        <w:lastRenderedPageBreak/>
        <w:t>Применение ситуации-оценки позволяло педагогам активно проявлять своё отношение к рассматриваемой ситуации и способу её решения. Ведущий озвучивал характеристики какой-либо проблемной коммуникативной ситуации и предлагаемый способ её решения. Педагогам предлагалось оценить данное решение, попытаться найти допущенные ошибки, объяснить их сущность, обосновав при этом выводы.</w:t>
      </w:r>
    </w:p>
    <w:p w:rsidR="00A45F8C" w:rsidRPr="005E564B" w:rsidRDefault="00A45F8C" w:rsidP="005E564B">
      <w:pPr>
        <w:pStyle w:val="a5"/>
        <w:suppressAutoHyphens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5E564B">
        <w:rPr>
          <w:color w:val="000000" w:themeColor="text1"/>
        </w:rPr>
        <w:t>Использование ситуации-упражнения предполаг</w:t>
      </w:r>
      <w:r w:rsidR="00943A46" w:rsidRPr="005E564B">
        <w:rPr>
          <w:color w:val="000000" w:themeColor="text1"/>
        </w:rPr>
        <w:t>ало</w:t>
      </w:r>
      <w:r w:rsidRPr="005E564B">
        <w:rPr>
          <w:color w:val="000000" w:themeColor="text1"/>
        </w:rPr>
        <w:t xml:space="preserve">, что ведущий ограничивается изложением сути коммуникативной ситуации (например, конфликтной) и предлагает педагогам проанализировать эту ситуацию, попытаться на основе ее анализа выработать соответствующее решение. </w:t>
      </w:r>
    </w:p>
    <w:p w:rsidR="00A45F8C" w:rsidRPr="005E564B" w:rsidRDefault="00A45F8C" w:rsidP="005E564B">
      <w:pPr>
        <w:pStyle w:val="a5"/>
        <w:suppressAutoHyphens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5E564B">
        <w:rPr>
          <w:color w:val="000000" w:themeColor="text1"/>
        </w:rPr>
        <w:t xml:space="preserve">Возможности ситуационно – ролевого моделирования реализованы, например, в такой форме, как </w:t>
      </w:r>
      <w:r w:rsidR="005D01A2" w:rsidRPr="005E564B">
        <w:rPr>
          <w:color w:val="000000" w:themeColor="text1"/>
        </w:rPr>
        <w:t xml:space="preserve">совместный </w:t>
      </w:r>
      <w:r w:rsidRPr="005E564B">
        <w:rPr>
          <w:color w:val="000000" w:themeColor="text1"/>
        </w:rPr>
        <w:t xml:space="preserve">педагогический совет «Общение в семье» с привлечением родителей воспитанников. </w:t>
      </w:r>
    </w:p>
    <w:p w:rsidR="00A45F8C" w:rsidRPr="005E564B" w:rsidRDefault="00A45F8C" w:rsidP="005E564B">
      <w:pPr>
        <w:pStyle w:val="a5"/>
        <w:suppressAutoHyphens/>
        <w:spacing w:before="0" w:beforeAutospacing="0" w:after="0" w:afterAutospacing="0"/>
        <w:ind w:firstLine="284"/>
        <w:jc w:val="both"/>
      </w:pPr>
      <w:r w:rsidRPr="005E564B">
        <w:rPr>
          <w:color w:val="000000" w:themeColor="text1"/>
        </w:rPr>
        <w:t xml:space="preserve">Отработке приёмов </w:t>
      </w:r>
      <w:r w:rsidR="005D01A2" w:rsidRPr="005E564B">
        <w:rPr>
          <w:color w:val="000000" w:themeColor="text1"/>
        </w:rPr>
        <w:t>педагогической</w:t>
      </w:r>
      <w:r w:rsidRPr="005E564B">
        <w:rPr>
          <w:color w:val="000000" w:themeColor="text1"/>
        </w:rPr>
        <w:t xml:space="preserve"> коммуникации и становлению индивидуального стиля педагога способствовала форма проведения научно-практической</w:t>
      </w:r>
      <w:r w:rsidR="005D01A2" w:rsidRPr="005E564B">
        <w:rPr>
          <w:color w:val="000000" w:themeColor="text1"/>
        </w:rPr>
        <w:t xml:space="preserve"> родительской</w:t>
      </w:r>
      <w:r w:rsidRPr="005E564B">
        <w:rPr>
          <w:color w:val="000000" w:themeColor="text1"/>
        </w:rPr>
        <w:t xml:space="preserve"> конференции</w:t>
      </w:r>
      <w:r w:rsidR="005D01A2" w:rsidRPr="005E564B">
        <w:rPr>
          <w:color w:val="000000" w:themeColor="text1"/>
        </w:rPr>
        <w:t xml:space="preserve"> -</w:t>
      </w:r>
      <w:r w:rsidRPr="005E564B">
        <w:rPr>
          <w:color w:val="000000" w:themeColor="text1"/>
        </w:rPr>
        <w:t xml:space="preserve"> «Люб</w:t>
      </w:r>
      <w:r w:rsidR="005D01A2" w:rsidRPr="005E564B">
        <w:rPr>
          <w:color w:val="000000" w:themeColor="text1"/>
        </w:rPr>
        <w:t>ящий (любознательный) родитель».</w:t>
      </w:r>
      <w:r w:rsidRPr="005E564B">
        <w:rPr>
          <w:color w:val="000000" w:themeColor="text1"/>
        </w:rPr>
        <w:t xml:space="preserve"> </w:t>
      </w:r>
      <w:r w:rsidR="005D01A2" w:rsidRPr="005E564B">
        <w:rPr>
          <w:color w:val="000000" w:themeColor="text1"/>
        </w:rPr>
        <w:t xml:space="preserve">Её </w:t>
      </w:r>
      <w:r w:rsidRPr="005E564B">
        <w:rPr>
          <w:color w:val="000000" w:themeColor="text1"/>
        </w:rPr>
        <w:t xml:space="preserve">результаты легли в основу интегрированной оценки когнитивного и деятельностного компонента развития коммуникативной </w:t>
      </w:r>
      <w:r w:rsidR="00943A46" w:rsidRPr="005E564B">
        <w:rPr>
          <w:color w:val="000000" w:themeColor="text1"/>
        </w:rPr>
        <w:t>открытости ДОУ.</w:t>
      </w:r>
      <w:r w:rsidR="00473612">
        <w:rPr>
          <w:color w:val="000000" w:themeColor="text1"/>
        </w:rPr>
        <w:t xml:space="preserve"> </w:t>
      </w:r>
      <w:r w:rsidRPr="005E564B">
        <w:t>Родители заранее готов</w:t>
      </w:r>
      <w:r w:rsidR="00943A46" w:rsidRPr="005E564B">
        <w:t>или</w:t>
      </w:r>
      <w:r w:rsidRPr="005E564B">
        <w:t xml:space="preserve"> сообщение, педагог при необходимости оказыва</w:t>
      </w:r>
      <w:r w:rsidR="00943A46" w:rsidRPr="005E564B">
        <w:t xml:space="preserve">л </w:t>
      </w:r>
      <w:r w:rsidRPr="005E564B">
        <w:t>п</w:t>
      </w:r>
      <w:r w:rsidR="00943A46" w:rsidRPr="005E564B">
        <w:t>омощь в выборе темы и</w:t>
      </w:r>
      <w:r w:rsidRPr="005E564B">
        <w:t xml:space="preserve"> оформлении выступления.</w:t>
      </w:r>
      <w:r w:rsidR="00943A46" w:rsidRPr="005E564B">
        <w:t xml:space="preserve"> Активный дискуссионный формат ведения конференции способствовал формированию коммуникативной открытости ДОУ.</w:t>
      </w:r>
      <w:r w:rsidRPr="005E564B">
        <w:t xml:space="preserve"> </w:t>
      </w:r>
    </w:p>
    <w:p w:rsidR="00943A46" w:rsidRPr="005E564B" w:rsidRDefault="00943A46" w:rsidP="005E564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Результаты контрольного этапа исследования</w:t>
      </w:r>
      <w:r w:rsidR="00473612">
        <w:rPr>
          <w:rFonts w:ascii="Times New Roman" w:hAnsi="Times New Roman" w:cs="Times New Roman"/>
          <w:sz w:val="24"/>
          <w:szCs w:val="24"/>
        </w:rPr>
        <w:t xml:space="preserve"> коммуникативной открытости ДОУ</w:t>
      </w:r>
      <w:r w:rsidRPr="005E564B">
        <w:rPr>
          <w:rFonts w:ascii="Times New Roman" w:hAnsi="Times New Roman" w:cs="Times New Roman"/>
          <w:sz w:val="24"/>
          <w:szCs w:val="24"/>
        </w:rPr>
        <w:t xml:space="preserve"> позволяют утверждать о достижении позитивных результатов. Оценка коммуникативной открытости ДОУ как одного из основных показателей открытости образовательного процесса показала положительную динамику. </w:t>
      </w:r>
    </w:p>
    <w:p w:rsidR="006622EE" w:rsidRPr="005E564B" w:rsidRDefault="006622EE" w:rsidP="005E564B">
      <w:pPr>
        <w:pStyle w:val="a4"/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64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r w:rsidR="00153837" w:rsidRPr="005E5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Pr="005E5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0B6C" w:rsidRPr="005E5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8D1ADB" w:rsidRPr="005E564B" w:rsidRDefault="009C0B6C" w:rsidP="005E564B">
      <w:pPr>
        <w:pStyle w:val="a4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64B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открытость ДОУ</w:t>
      </w:r>
    </w:p>
    <w:tbl>
      <w:tblPr>
        <w:tblStyle w:val="a3"/>
        <w:tblW w:w="9981" w:type="dxa"/>
        <w:tblLook w:val="04A0" w:firstRow="1" w:lastRow="0" w:firstColumn="1" w:lastColumn="0" w:noHBand="0" w:noVBand="1"/>
      </w:tblPr>
      <w:tblGrid>
        <w:gridCol w:w="2295"/>
        <w:gridCol w:w="3943"/>
        <w:gridCol w:w="2169"/>
        <w:gridCol w:w="1574"/>
      </w:tblGrid>
      <w:tr w:rsidR="000928C7" w:rsidRPr="005E564B" w:rsidTr="000928C7">
        <w:trPr>
          <w:trHeight w:val="314"/>
        </w:trPr>
        <w:tc>
          <w:tcPr>
            <w:tcW w:w="2295" w:type="dxa"/>
            <w:vMerge w:val="restart"/>
          </w:tcPr>
          <w:p w:rsidR="000928C7" w:rsidRPr="005E564B" w:rsidRDefault="000928C7" w:rsidP="000928C7">
            <w:pPr>
              <w:pStyle w:val="a4"/>
              <w:spacing w:after="0" w:line="240" w:lineRule="auto"/>
              <w:ind w:left="0"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</w:p>
          <w:p w:rsidR="000928C7" w:rsidRPr="005E564B" w:rsidRDefault="000928C7" w:rsidP="000928C7">
            <w:pPr>
              <w:pStyle w:val="a4"/>
              <w:spacing w:after="0" w:line="240" w:lineRule="auto"/>
              <w:ind w:left="0"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Коммуникативной открытости ДОУ</w:t>
            </w:r>
          </w:p>
        </w:tc>
        <w:tc>
          <w:tcPr>
            <w:tcW w:w="3943" w:type="dxa"/>
            <w:vMerge w:val="restart"/>
          </w:tcPr>
          <w:p w:rsidR="000928C7" w:rsidRPr="005E564B" w:rsidRDefault="000928C7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C7" w:rsidRPr="005E564B" w:rsidRDefault="000928C7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743" w:type="dxa"/>
            <w:gridSpan w:val="2"/>
          </w:tcPr>
          <w:p w:rsidR="000928C7" w:rsidRDefault="000928C7" w:rsidP="000928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Количество субъектов</w:t>
            </w:r>
          </w:p>
        </w:tc>
      </w:tr>
      <w:tr w:rsidR="000928C7" w:rsidRPr="005E564B" w:rsidTr="000928C7">
        <w:trPr>
          <w:trHeight w:val="548"/>
        </w:trPr>
        <w:tc>
          <w:tcPr>
            <w:tcW w:w="2295" w:type="dxa"/>
            <w:vMerge/>
          </w:tcPr>
          <w:p w:rsidR="000928C7" w:rsidRPr="005E564B" w:rsidRDefault="000928C7" w:rsidP="000928C7">
            <w:pPr>
              <w:pStyle w:val="a4"/>
              <w:spacing w:after="0" w:line="240" w:lineRule="auto"/>
              <w:ind w:left="0"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vMerge/>
          </w:tcPr>
          <w:p w:rsidR="000928C7" w:rsidRPr="005E564B" w:rsidRDefault="000928C7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928C7" w:rsidRPr="005E564B" w:rsidRDefault="000928C7" w:rsidP="000928C7">
            <w:pPr>
              <w:pStyle w:val="a4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констатирующ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 этап, %</w:t>
            </w:r>
          </w:p>
        </w:tc>
        <w:tc>
          <w:tcPr>
            <w:tcW w:w="1574" w:type="dxa"/>
          </w:tcPr>
          <w:p w:rsidR="000928C7" w:rsidRPr="005E564B" w:rsidRDefault="000928C7" w:rsidP="000928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 этап, %</w:t>
            </w:r>
          </w:p>
        </w:tc>
      </w:tr>
      <w:tr w:rsidR="009C0B6C" w:rsidRPr="005E564B" w:rsidTr="000928C7">
        <w:tc>
          <w:tcPr>
            <w:tcW w:w="2295" w:type="dxa"/>
            <w:vMerge w:val="restart"/>
          </w:tcPr>
          <w:p w:rsidR="009C0B6C" w:rsidRPr="00473612" w:rsidRDefault="009C0B6C" w:rsidP="000928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12">
              <w:rPr>
                <w:rFonts w:ascii="Times New Roman" w:hAnsi="Times New Roman" w:cs="Times New Roman"/>
                <w:sz w:val="24"/>
                <w:szCs w:val="24"/>
              </w:rPr>
              <w:t>Ценностно-смысловой компонент</w:t>
            </w:r>
          </w:p>
        </w:tc>
        <w:tc>
          <w:tcPr>
            <w:tcW w:w="3943" w:type="dxa"/>
          </w:tcPr>
          <w:p w:rsidR="009C0B6C" w:rsidRPr="005E564B" w:rsidRDefault="009C0B6C" w:rsidP="0009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Формально-информационный- </w:t>
            </w:r>
            <w:r w:rsidRPr="005E564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169" w:type="dxa"/>
          </w:tcPr>
          <w:p w:rsidR="009C0B6C" w:rsidRPr="005E564B" w:rsidRDefault="00A403C4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4" w:type="dxa"/>
          </w:tcPr>
          <w:p w:rsidR="009C0B6C" w:rsidRPr="005E564B" w:rsidRDefault="009C0B6C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2EE" w:rsidRPr="005E56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0B6C" w:rsidRPr="005E564B" w:rsidTr="000928C7">
        <w:tc>
          <w:tcPr>
            <w:tcW w:w="2295" w:type="dxa"/>
            <w:vMerge/>
          </w:tcPr>
          <w:p w:rsidR="009C0B6C" w:rsidRPr="00473612" w:rsidRDefault="009C0B6C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9C0B6C" w:rsidRPr="005E564B" w:rsidRDefault="009C0B6C" w:rsidP="000928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Ситуативно-рефлексивный - </w:t>
            </w:r>
            <w:r w:rsidRPr="005E564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169" w:type="dxa"/>
          </w:tcPr>
          <w:p w:rsidR="009C0B6C" w:rsidRPr="005E564B" w:rsidRDefault="00A403C4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4" w:type="dxa"/>
          </w:tcPr>
          <w:p w:rsidR="009C0B6C" w:rsidRPr="005E564B" w:rsidRDefault="006622EE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C0B6C" w:rsidRPr="005E564B" w:rsidTr="000928C7">
        <w:tc>
          <w:tcPr>
            <w:tcW w:w="2295" w:type="dxa"/>
            <w:vMerge/>
          </w:tcPr>
          <w:p w:rsidR="009C0B6C" w:rsidRPr="00473612" w:rsidRDefault="009C0B6C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9C0B6C" w:rsidRPr="005E564B" w:rsidRDefault="009C0B6C" w:rsidP="000928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ценностно-рефлексивный - </w:t>
            </w:r>
            <w:r w:rsidRPr="005E56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69" w:type="dxa"/>
          </w:tcPr>
          <w:p w:rsidR="009C0B6C" w:rsidRPr="005E564B" w:rsidRDefault="00A403C4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9C0B6C" w:rsidRPr="005E564B" w:rsidRDefault="006622EE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0B6C" w:rsidRPr="005E564B" w:rsidTr="000928C7">
        <w:tc>
          <w:tcPr>
            <w:tcW w:w="2295" w:type="dxa"/>
            <w:vMerge w:val="restart"/>
          </w:tcPr>
          <w:p w:rsidR="009C0B6C" w:rsidRPr="00473612" w:rsidRDefault="009C0B6C" w:rsidP="0009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2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3943" w:type="dxa"/>
          </w:tcPr>
          <w:p w:rsidR="009C0B6C" w:rsidRPr="005E564B" w:rsidRDefault="009C0B6C" w:rsidP="000928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3C4" w:rsidRPr="005E5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нформационно-поверхностный - </w:t>
            </w:r>
            <w:r w:rsidRPr="005E564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169" w:type="dxa"/>
          </w:tcPr>
          <w:p w:rsidR="009C0B6C" w:rsidRPr="005E564B" w:rsidRDefault="006622EE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3FD" w:rsidRPr="005E5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9C0B6C" w:rsidRPr="005E564B" w:rsidRDefault="006622EE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C0B6C" w:rsidRPr="005E564B" w:rsidTr="000928C7">
        <w:tc>
          <w:tcPr>
            <w:tcW w:w="2295" w:type="dxa"/>
            <w:vMerge/>
          </w:tcPr>
          <w:p w:rsidR="009C0B6C" w:rsidRPr="00473612" w:rsidRDefault="009C0B6C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9C0B6C" w:rsidRPr="005E564B" w:rsidRDefault="009C0B6C" w:rsidP="000928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Ситуативно-рефлексивный - </w:t>
            </w:r>
            <w:r w:rsidRPr="005E564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169" w:type="dxa"/>
          </w:tcPr>
          <w:p w:rsidR="009C0B6C" w:rsidRPr="005E564B" w:rsidRDefault="006622EE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4" w:type="dxa"/>
          </w:tcPr>
          <w:p w:rsidR="009C0B6C" w:rsidRPr="005E564B" w:rsidRDefault="006622EE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C0B6C" w:rsidRPr="005E564B" w:rsidTr="000928C7">
        <w:tc>
          <w:tcPr>
            <w:tcW w:w="2295" w:type="dxa"/>
            <w:vMerge/>
          </w:tcPr>
          <w:p w:rsidR="009C0B6C" w:rsidRPr="00473612" w:rsidRDefault="009C0B6C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9C0B6C" w:rsidRPr="005E564B" w:rsidRDefault="009C0B6C" w:rsidP="000928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 – деятельностный- </w:t>
            </w:r>
            <w:r w:rsidRPr="005E56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69" w:type="dxa"/>
          </w:tcPr>
          <w:p w:rsidR="009C0B6C" w:rsidRPr="005E564B" w:rsidRDefault="009C0B6C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2EE" w:rsidRPr="005E5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9C0B6C" w:rsidRPr="005E564B" w:rsidRDefault="006622EE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0B6C" w:rsidRPr="005E564B" w:rsidTr="000928C7">
        <w:tc>
          <w:tcPr>
            <w:tcW w:w="2295" w:type="dxa"/>
            <w:vMerge w:val="restart"/>
          </w:tcPr>
          <w:p w:rsidR="009C0B6C" w:rsidRPr="00473612" w:rsidRDefault="009C0B6C" w:rsidP="0009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2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</w:p>
        </w:tc>
        <w:tc>
          <w:tcPr>
            <w:tcW w:w="3943" w:type="dxa"/>
          </w:tcPr>
          <w:p w:rsidR="009C0B6C" w:rsidRPr="005E564B" w:rsidRDefault="009C0B6C" w:rsidP="000928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Формально-репродуктивный - </w:t>
            </w:r>
            <w:r w:rsidRPr="005E564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169" w:type="dxa"/>
          </w:tcPr>
          <w:p w:rsidR="009C0B6C" w:rsidRPr="005E564B" w:rsidRDefault="006622EE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4" w:type="dxa"/>
          </w:tcPr>
          <w:p w:rsidR="009C0B6C" w:rsidRPr="005E564B" w:rsidRDefault="006622EE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0B6C" w:rsidRPr="005E564B" w:rsidTr="000928C7">
        <w:tc>
          <w:tcPr>
            <w:tcW w:w="2295" w:type="dxa"/>
            <w:vMerge/>
          </w:tcPr>
          <w:p w:rsidR="009C0B6C" w:rsidRPr="005E564B" w:rsidRDefault="009C0B6C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9C0B6C" w:rsidRPr="00473612" w:rsidRDefault="009C0B6C" w:rsidP="0009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2">
              <w:rPr>
                <w:rFonts w:ascii="Times New Roman" w:hAnsi="Times New Roman" w:cs="Times New Roman"/>
                <w:sz w:val="24"/>
                <w:szCs w:val="24"/>
              </w:rPr>
              <w:t>Адаптивный -</w:t>
            </w:r>
            <w:r w:rsidRPr="0047361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169" w:type="dxa"/>
          </w:tcPr>
          <w:p w:rsidR="009C0B6C" w:rsidRPr="005E564B" w:rsidRDefault="006622EE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4" w:type="dxa"/>
          </w:tcPr>
          <w:p w:rsidR="009C0B6C" w:rsidRPr="005E564B" w:rsidRDefault="006622EE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C0B6C" w:rsidRPr="005E564B" w:rsidTr="000928C7">
        <w:tc>
          <w:tcPr>
            <w:tcW w:w="2295" w:type="dxa"/>
            <w:vMerge/>
          </w:tcPr>
          <w:p w:rsidR="009C0B6C" w:rsidRPr="005E564B" w:rsidRDefault="009C0B6C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9C0B6C" w:rsidRPr="005E564B" w:rsidRDefault="009C0B6C" w:rsidP="000928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Рефлексивно-творческий - </w:t>
            </w:r>
            <w:r w:rsidRPr="005E56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69" w:type="dxa"/>
          </w:tcPr>
          <w:p w:rsidR="009C0B6C" w:rsidRPr="005E564B" w:rsidRDefault="006622EE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4" w:type="dxa"/>
          </w:tcPr>
          <w:p w:rsidR="009C0B6C" w:rsidRPr="005E564B" w:rsidRDefault="006622EE" w:rsidP="000928C7">
            <w:pPr>
              <w:pStyle w:val="a4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D01A2" w:rsidRPr="005E564B" w:rsidRDefault="005D01A2" w:rsidP="005E564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5D01A2" w:rsidRPr="005E564B" w:rsidRDefault="00581481" w:rsidP="005E564B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sz w:val="24"/>
          <w:szCs w:val="24"/>
        </w:rPr>
        <w:t xml:space="preserve">Рахкошин А.А. Открытость образовательного процесса (на примере западноевропейской </w:t>
      </w:r>
      <w:proofErr w:type="gramStart"/>
      <w:r w:rsidRPr="005E564B">
        <w:rPr>
          <w:rFonts w:ascii="Times New Roman" w:hAnsi="Times New Roman" w:cs="Times New Roman"/>
          <w:sz w:val="24"/>
          <w:szCs w:val="24"/>
        </w:rPr>
        <w:t>модели)/</w:t>
      </w:r>
      <w:proofErr w:type="gramEnd"/>
      <w:r w:rsidRPr="005E564B">
        <w:rPr>
          <w:rFonts w:ascii="Times New Roman" w:hAnsi="Times New Roman" w:cs="Times New Roman"/>
          <w:sz w:val="24"/>
          <w:szCs w:val="24"/>
        </w:rPr>
        <w:t xml:space="preserve"> Новгородский государственный университет им Ярослава Мудрого/Монография, 2005.</w:t>
      </w:r>
    </w:p>
    <w:p w:rsidR="00581481" w:rsidRPr="005E564B" w:rsidRDefault="00581481" w:rsidP="008A7E49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 дошкольного образования/ Приказ министерства образования и науки Российской Федерации от 17 октября 2013 года №1155// Российская газета, 25 ноября 2013г., №6241.</w:t>
      </w:r>
    </w:p>
    <w:sectPr w:rsidR="00581481" w:rsidRPr="005E564B" w:rsidSect="005E564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7BE8"/>
    <w:multiLevelType w:val="hybridMultilevel"/>
    <w:tmpl w:val="F46C95D2"/>
    <w:lvl w:ilvl="0" w:tplc="214843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12A3416"/>
    <w:multiLevelType w:val="hybridMultilevel"/>
    <w:tmpl w:val="10F4A636"/>
    <w:lvl w:ilvl="0" w:tplc="DCAC732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8B42A59"/>
    <w:multiLevelType w:val="hybridMultilevel"/>
    <w:tmpl w:val="10F4A636"/>
    <w:lvl w:ilvl="0" w:tplc="DCAC732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0143CC9"/>
    <w:multiLevelType w:val="hybridMultilevel"/>
    <w:tmpl w:val="57A82604"/>
    <w:lvl w:ilvl="0" w:tplc="D1E4A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04B7A"/>
    <w:multiLevelType w:val="hybridMultilevel"/>
    <w:tmpl w:val="57A82604"/>
    <w:lvl w:ilvl="0" w:tplc="D1E4A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D7824"/>
    <w:multiLevelType w:val="hybridMultilevel"/>
    <w:tmpl w:val="AFE697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E835825"/>
    <w:multiLevelType w:val="hybridMultilevel"/>
    <w:tmpl w:val="1AE8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575D4"/>
    <w:multiLevelType w:val="hybridMultilevel"/>
    <w:tmpl w:val="0B94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B20C9"/>
    <w:multiLevelType w:val="hybridMultilevel"/>
    <w:tmpl w:val="1AE8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53D9C"/>
    <w:multiLevelType w:val="hybridMultilevel"/>
    <w:tmpl w:val="69F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537CB"/>
    <w:multiLevelType w:val="hybridMultilevel"/>
    <w:tmpl w:val="95A69D52"/>
    <w:lvl w:ilvl="0" w:tplc="FF72594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E1"/>
    <w:rsid w:val="00023E81"/>
    <w:rsid w:val="00070EE6"/>
    <w:rsid w:val="000901EE"/>
    <w:rsid w:val="000928C7"/>
    <w:rsid w:val="000A5C5B"/>
    <w:rsid w:val="001131EC"/>
    <w:rsid w:val="00125B65"/>
    <w:rsid w:val="00153837"/>
    <w:rsid w:val="00167282"/>
    <w:rsid w:val="001A665F"/>
    <w:rsid w:val="001F2B7F"/>
    <w:rsid w:val="002A420B"/>
    <w:rsid w:val="00310301"/>
    <w:rsid w:val="00335014"/>
    <w:rsid w:val="00390BA8"/>
    <w:rsid w:val="003B74FE"/>
    <w:rsid w:val="00426C8A"/>
    <w:rsid w:val="004518CC"/>
    <w:rsid w:val="00473612"/>
    <w:rsid w:val="00490613"/>
    <w:rsid w:val="004B789B"/>
    <w:rsid w:val="0050554D"/>
    <w:rsid w:val="00544324"/>
    <w:rsid w:val="00552F74"/>
    <w:rsid w:val="00581481"/>
    <w:rsid w:val="005D01A2"/>
    <w:rsid w:val="005D76D2"/>
    <w:rsid w:val="005E564B"/>
    <w:rsid w:val="005F43FD"/>
    <w:rsid w:val="006622EE"/>
    <w:rsid w:val="00663F4E"/>
    <w:rsid w:val="00675FEB"/>
    <w:rsid w:val="006A103C"/>
    <w:rsid w:val="006B38A1"/>
    <w:rsid w:val="006C3DE1"/>
    <w:rsid w:val="006E4B6A"/>
    <w:rsid w:val="00723F6D"/>
    <w:rsid w:val="00741BA9"/>
    <w:rsid w:val="00783C32"/>
    <w:rsid w:val="007F3882"/>
    <w:rsid w:val="00842BFB"/>
    <w:rsid w:val="00863A57"/>
    <w:rsid w:val="008D1ADB"/>
    <w:rsid w:val="009040B7"/>
    <w:rsid w:val="00922931"/>
    <w:rsid w:val="00923AEC"/>
    <w:rsid w:val="00943A46"/>
    <w:rsid w:val="00960CE8"/>
    <w:rsid w:val="0097235B"/>
    <w:rsid w:val="009C0B6C"/>
    <w:rsid w:val="009F3469"/>
    <w:rsid w:val="00A10F5A"/>
    <w:rsid w:val="00A403C4"/>
    <w:rsid w:val="00A44060"/>
    <w:rsid w:val="00A45F8C"/>
    <w:rsid w:val="00A4783D"/>
    <w:rsid w:val="00A56B69"/>
    <w:rsid w:val="00A76AC0"/>
    <w:rsid w:val="00A8475D"/>
    <w:rsid w:val="00AE369E"/>
    <w:rsid w:val="00B1234B"/>
    <w:rsid w:val="00B26F68"/>
    <w:rsid w:val="00BA3027"/>
    <w:rsid w:val="00BE507C"/>
    <w:rsid w:val="00C75CB0"/>
    <w:rsid w:val="00CB31C0"/>
    <w:rsid w:val="00CE239C"/>
    <w:rsid w:val="00D72DAD"/>
    <w:rsid w:val="00D74A26"/>
    <w:rsid w:val="00DA50CF"/>
    <w:rsid w:val="00DD653B"/>
    <w:rsid w:val="00DF344F"/>
    <w:rsid w:val="00E265CC"/>
    <w:rsid w:val="00E828FC"/>
    <w:rsid w:val="00EC1048"/>
    <w:rsid w:val="00ED1CBC"/>
    <w:rsid w:val="00F65324"/>
    <w:rsid w:val="00F7007E"/>
    <w:rsid w:val="00F85464"/>
    <w:rsid w:val="00F9357A"/>
    <w:rsid w:val="00FA188A"/>
    <w:rsid w:val="00FB5647"/>
    <w:rsid w:val="00FC0324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D4074-CE81-4135-8D3D-164CFF44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75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5FE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6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931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A45F8C"/>
  </w:style>
  <w:style w:type="paragraph" w:styleId="a5">
    <w:name w:val="Plain Text"/>
    <w:basedOn w:val="a"/>
    <w:link w:val="a6"/>
    <w:uiPriority w:val="99"/>
    <w:rsid w:val="00A4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A45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45F8C"/>
  </w:style>
  <w:style w:type="character" w:customStyle="1" w:styleId="s6">
    <w:name w:val="s6"/>
    <w:basedOn w:val="a0"/>
    <w:rsid w:val="00A4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2018-05-07T08:08:00Z</dcterms:created>
  <dcterms:modified xsi:type="dcterms:W3CDTF">2018-05-07T08:08:00Z</dcterms:modified>
</cp:coreProperties>
</file>