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32"/>
        </w:rPr>
        <w:t xml:space="preserve">  </w:t>
      </w:r>
      <w:r>
        <w:rPr>
          <w:rFonts w:ascii="Times New Roman" w:hAnsi="Times New Roman"/>
          <w:b w:val="1"/>
          <w:sz w:val="32"/>
        </w:rPr>
        <w:t xml:space="preserve">  </w:t>
      </w:r>
      <w:r>
        <w:rPr>
          <w:rFonts w:ascii="Times New Roman" w:hAnsi="Times New Roman"/>
          <w:b w:val="1"/>
          <w:sz w:val="24"/>
        </w:rPr>
        <w:t xml:space="preserve">Конспект занятия в старшей группе   по познавательном развитию </w:t>
      </w:r>
      <w:r>
        <w:rPr>
          <w:rFonts w:ascii="Times New Roman" w:hAnsi="Times New Roman"/>
          <w:b w:val="1"/>
          <w:sz w:val="24"/>
        </w:rPr>
        <w:t xml:space="preserve">(ФЭМП) </w:t>
      </w:r>
    </w:p>
    <w:p w14:paraId="02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                          «В поисках эликсира Добра»</w:t>
      </w:r>
    </w:p>
    <w:p w14:paraId="0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</w:t>
      </w:r>
      <w:r>
        <w:rPr>
          <w:rFonts w:ascii="Times New Roman" w:hAnsi="Times New Roman"/>
          <w:sz w:val="24"/>
        </w:rPr>
        <w:t>: создание условий для поддержания устойчивого познавательного интереса и применение детьми математических представлений для решения игровых задач</w:t>
      </w:r>
    </w:p>
    <w:p w14:paraId="04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Задачи: </w:t>
      </w:r>
    </w:p>
    <w:p w14:paraId="05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Образовательные</w:t>
      </w:r>
    </w:p>
    <w:p w14:paraId="06000000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совершенствовать навык ориентировки на плоскости</w:t>
      </w:r>
    </w:p>
    <w:p w14:paraId="07000000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закреплять умение детей составля</w:t>
      </w:r>
      <w:r>
        <w:rPr>
          <w:rFonts w:ascii="Times New Roman" w:hAnsi="Times New Roman"/>
          <w:sz w:val="24"/>
        </w:rPr>
        <w:t>ть целое из частей (головоломки «Колумбово яйцо», «Танграм»)</w:t>
      </w:r>
    </w:p>
    <w:p w14:paraId="08000000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закрепление представлений о составе числа 5</w:t>
      </w:r>
    </w:p>
    <w:p w14:paraId="09000000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упражнять в счете на ощупь в пределах 6, совершенствование навыка соотношение числа и цифры</w:t>
      </w:r>
    </w:p>
    <w:p w14:paraId="0A000000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представления о многоугольнике, закреплять в ре</w:t>
      </w:r>
      <w:r>
        <w:rPr>
          <w:rFonts w:ascii="Times New Roman" w:hAnsi="Times New Roman"/>
          <w:sz w:val="24"/>
        </w:rPr>
        <w:t xml:space="preserve">чи названия геометрических тел: </w:t>
      </w:r>
      <w:bookmarkStart w:id="1" w:name="_GoBack"/>
      <w:bookmarkEnd w:id="1"/>
      <w:r>
        <w:rPr>
          <w:rFonts w:ascii="Times New Roman" w:hAnsi="Times New Roman"/>
          <w:sz w:val="24"/>
        </w:rPr>
        <w:t>квадрат, прямоугольник, четырехугольник, пятиугольник, шестиугольник</w:t>
      </w:r>
    </w:p>
    <w:p w14:paraId="0B000000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умения использовать условную мерку для измерения  массы жидких тел</w:t>
      </w:r>
    </w:p>
    <w:p w14:paraId="0C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Развивающие </w:t>
      </w:r>
    </w:p>
    <w:p w14:paraId="0D000000">
      <w:pPr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совершенствовать развитию мыслительной и речевой деятельност</w:t>
      </w:r>
      <w:r>
        <w:rPr>
          <w:rFonts w:ascii="Times New Roman" w:hAnsi="Times New Roman"/>
          <w:sz w:val="24"/>
        </w:rPr>
        <w:t xml:space="preserve">и, зрительного внимания, пальцевой моторики </w:t>
      </w:r>
    </w:p>
    <w:p w14:paraId="0E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Воспитательные </w:t>
      </w:r>
    </w:p>
    <w:p w14:paraId="0F000000">
      <w:pPr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воспитывать самостоятельность при решении игровых задач, навыков сотрудничества </w:t>
      </w:r>
    </w:p>
    <w:p w14:paraId="10000000">
      <w:pPr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воспитывать умение слушать, помогать друг другу</w:t>
      </w:r>
    </w:p>
    <w:p w14:paraId="11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Использование современных образовательных технологий</w:t>
      </w:r>
    </w:p>
    <w:p w14:paraId="12000000">
      <w:pPr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игровая техно</w:t>
      </w:r>
      <w:r>
        <w:rPr>
          <w:rFonts w:ascii="Times New Roman" w:hAnsi="Times New Roman"/>
          <w:sz w:val="24"/>
        </w:rPr>
        <w:t>логия обучения в сотрудничестве</w:t>
      </w:r>
    </w:p>
    <w:p w14:paraId="13000000">
      <w:pPr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здоровьесберегающая</w:t>
      </w:r>
    </w:p>
    <w:p w14:paraId="14000000">
      <w:pPr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технология </w:t>
      </w:r>
      <w:r>
        <w:rPr>
          <w:rFonts w:ascii="Times New Roman" w:hAnsi="Times New Roman"/>
          <w:sz w:val="24"/>
        </w:rPr>
        <w:t>экспериментирования</w:t>
      </w:r>
    </w:p>
    <w:p w14:paraId="15000000">
      <w:pPr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mimio</w:t>
      </w:r>
    </w:p>
    <w:p w14:paraId="16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Материалы и оборудование</w:t>
      </w:r>
      <w:r>
        <w:rPr>
          <w:rFonts w:ascii="Times New Roman" w:hAnsi="Times New Roman"/>
          <w:sz w:val="24"/>
        </w:rPr>
        <w:t>: посылка, головоломки «Колумбово яйцо», «Танграм», «горох», корзинки, конверты, монеты, подносы, плас</w:t>
      </w:r>
      <w:r>
        <w:rPr>
          <w:rFonts w:ascii="Times New Roman" w:hAnsi="Times New Roman"/>
          <w:sz w:val="24"/>
        </w:rPr>
        <w:t>тиковые бутылочки, пипетки, воронки, влаж</w:t>
      </w:r>
      <w:r>
        <w:rPr>
          <w:rFonts w:ascii="Times New Roman" w:hAnsi="Times New Roman"/>
          <w:sz w:val="24"/>
        </w:rPr>
        <w:t xml:space="preserve">ные салфетки, приставка </w:t>
      </w:r>
      <w:r>
        <w:rPr>
          <w:rFonts w:ascii="Times New Roman" w:hAnsi="Times New Roman"/>
          <w:sz w:val="24"/>
        </w:rPr>
        <w:t>mimio</w:t>
      </w:r>
    </w:p>
    <w:p w14:paraId="17000000">
      <w:pPr>
        <w:rPr>
          <w:rFonts w:ascii="Times New Roman" w:hAnsi="Times New Roman"/>
          <w:sz w:val="24"/>
        </w:rPr>
      </w:pPr>
    </w:p>
    <w:p w14:paraId="1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</w:t>
      </w:r>
    </w:p>
    <w:p w14:paraId="19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 входят в группу</w:t>
      </w:r>
    </w:p>
    <w:p w14:paraId="1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– Ребята, поздоровайтесь с гостями. (обращает внимание на посылку) Откуда здесь эта посылка? Не гости ли нам её принесли? Давайте заглянем. (открывает</w:t>
      </w:r>
      <w:r>
        <w:rPr>
          <w:rFonts w:ascii="Times New Roman" w:hAnsi="Times New Roman"/>
          <w:sz w:val="24"/>
        </w:rPr>
        <w:t>). Тут</w:t>
      </w:r>
      <w:r>
        <w:rPr>
          <w:rFonts w:ascii="Times New Roman" w:hAnsi="Times New Roman"/>
          <w:sz w:val="24"/>
        </w:rPr>
        <w:t xml:space="preserve"> баночки и бутылочки.</w:t>
      </w:r>
    </w:p>
    <w:p w14:paraId="1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Звуковой с</w:t>
      </w:r>
      <w:r>
        <w:rPr>
          <w:rFonts w:ascii="Times New Roman" w:hAnsi="Times New Roman"/>
          <w:sz w:val="24"/>
        </w:rPr>
        <w:t>игнал (на экране – Фея сказок)</w:t>
      </w:r>
    </w:p>
    <w:p w14:paraId="1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819275" cy="181927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819275" cy="1819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Звуковое письмо</w:t>
      </w:r>
      <w:r>
        <w:rPr>
          <w:rFonts w:ascii="Times New Roman" w:hAnsi="Times New Roman"/>
          <w:sz w:val="24"/>
        </w:rPr>
        <w:t>: «Здравствуйте</w:t>
      </w:r>
      <w:r>
        <w:rPr>
          <w:rFonts w:ascii="Times New Roman" w:hAnsi="Times New Roman"/>
          <w:sz w:val="24"/>
        </w:rPr>
        <w:t>, ребята. Я Фея сказок. В стране сказок случилась беда – закончился эликсир Добра. И я прошу у вас помощи – создать эликсир, иначе в сказках зло победит добро. Все компоненты</w:t>
      </w:r>
      <w:r>
        <w:rPr>
          <w:rFonts w:ascii="Times New Roman" w:hAnsi="Times New Roman"/>
          <w:sz w:val="24"/>
        </w:rPr>
        <w:t xml:space="preserve"> для эликсира вы найдете в посылке, а вот рецепт нужно восстановить, выполнив задание в стране сказок. Карта укажет вам путь. </w:t>
      </w:r>
      <w:r>
        <w:rPr>
          <w:rFonts w:ascii="Times New Roman" w:hAnsi="Times New Roman"/>
          <w:sz w:val="24"/>
        </w:rPr>
        <w:t>Надеюсь,</w:t>
      </w:r>
      <w:r>
        <w:rPr>
          <w:rFonts w:ascii="Times New Roman" w:hAnsi="Times New Roman"/>
          <w:sz w:val="24"/>
        </w:rPr>
        <w:t xml:space="preserve"> на вашу помощь.</w:t>
      </w:r>
      <w:r>
        <w:rPr>
          <w:rFonts w:ascii="Times New Roman" w:hAnsi="Times New Roman"/>
          <w:sz w:val="24"/>
        </w:rPr>
        <w:t>»</w:t>
      </w:r>
    </w:p>
    <w:p w14:paraId="1E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 Поможем Фее? (Да) Тогда в путь.</w:t>
      </w:r>
    </w:p>
    <w:p w14:paraId="1F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экране – карта (движение по клеточкам)</w:t>
      </w:r>
    </w:p>
    <w:p w14:paraId="2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486025" cy="1830188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486025" cy="18301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 Что это за сказка? (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Снеж</w:t>
      </w:r>
      <w:r>
        <w:rPr>
          <w:rFonts w:ascii="Times New Roman" w:hAnsi="Times New Roman"/>
          <w:sz w:val="24"/>
        </w:rPr>
        <w:t>ная королева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) Злой тролль разбил волшебное зеркало и его части могут разлететься и попасть в сердца людей. Мы не можем этого допустить. Соберем волшебное зеркало.</w:t>
      </w:r>
    </w:p>
    <w:p w14:paraId="22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 собирают «зеркало» по парам за столами (</w:t>
      </w:r>
      <w:r>
        <w:rPr>
          <w:rFonts w:ascii="Times New Roman" w:hAnsi="Times New Roman"/>
          <w:sz w:val="24"/>
        </w:rPr>
        <w:t>«Колумбово яйцо», «Танграм»)</w:t>
      </w:r>
    </w:p>
    <w:p w14:paraId="2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Какой формы</w:t>
      </w:r>
      <w:r>
        <w:rPr>
          <w:rFonts w:ascii="Times New Roman" w:hAnsi="Times New Roman"/>
          <w:sz w:val="24"/>
        </w:rPr>
        <w:t xml:space="preserve"> у вас получились зеркала? (овальное, квадратное)</w:t>
      </w:r>
    </w:p>
    <w:p w14:paraId="24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  – Молодцы, все сделали правильно. Появилась 1 строчка рецепта (на экране) Идем дальше. </w:t>
      </w:r>
    </w:p>
    <w:p w14:paraId="25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экране – карта (движение по клеточкам)</w:t>
      </w:r>
    </w:p>
    <w:p w14:paraId="26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drawing>
          <wp:inline>
            <wp:extent cx="2486025" cy="1830188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486025" cy="18301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00000">
      <w:pPr>
        <w:rPr>
          <w:rFonts w:ascii="Times New Roman" w:hAnsi="Times New Roman"/>
          <w:sz w:val="24"/>
        </w:rPr>
      </w:pPr>
    </w:p>
    <w:p w14:paraId="2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1800225" cy="167640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1800225" cy="1676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9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 Что это за сказка? (Золушка). Злая мачеха задала Золушке много работы</w:t>
      </w:r>
      <w:r>
        <w:rPr>
          <w:rFonts w:ascii="Times New Roman" w:hAnsi="Times New Roman"/>
          <w:sz w:val="24"/>
        </w:rPr>
        <w:t>. Поможем Золушке, иначе она не попадет на бал. Разложим горох по корзинкам. В эту горох с 5 горошинками, а в эту с 6 (разделить детей на две команды, проводиться в виде эстафеты, счет на ощупь) Проверим (меняются местами – проверяют друг у друга)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Всё,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верно</w:t>
      </w:r>
      <w:r>
        <w:rPr>
          <w:rFonts w:ascii="Times New Roman" w:hAnsi="Times New Roman"/>
          <w:sz w:val="24"/>
        </w:rPr>
        <w:t>.</w:t>
      </w:r>
    </w:p>
    <w:p w14:paraId="2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экране – карта (движение по клеточкам)</w:t>
      </w:r>
    </w:p>
    <w:p w14:paraId="2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drawing>
          <wp:inline>
            <wp:extent cx="2486025" cy="1830188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486025" cy="18301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 Что это за сказка? (</w:t>
      </w:r>
      <w:r>
        <w:rPr>
          <w:rFonts w:ascii="Times New Roman" w:hAnsi="Times New Roman"/>
          <w:sz w:val="24"/>
        </w:rPr>
        <w:t xml:space="preserve">«Приключение </w:t>
      </w:r>
      <w:r>
        <w:rPr>
          <w:rFonts w:ascii="Times New Roman" w:hAnsi="Times New Roman"/>
          <w:sz w:val="24"/>
        </w:rPr>
        <w:t>Буратин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>mimio</w:t>
      </w:r>
      <w:r>
        <w:rPr>
          <w:rFonts w:ascii="Times New Roman" w:hAnsi="Times New Roman"/>
          <w:sz w:val="24"/>
        </w:rPr>
        <w:t xml:space="preserve"> c Буратино. (состав числа 5)</w:t>
      </w:r>
    </w:p>
    <w:p w14:paraId="2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003425" cy="1502569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003425" cy="15025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 Буратино хотел купить азбуку и у него есть пять монет. Поможем Буратино</w:t>
      </w:r>
      <w:r>
        <w:rPr>
          <w:rFonts w:ascii="Times New Roman" w:hAnsi="Times New Roman"/>
          <w:sz w:val="24"/>
        </w:rPr>
        <w:t>?</w:t>
      </w:r>
    </w:p>
    <w:p w14:paraId="2F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 Как вы получили 5 монет</w:t>
      </w:r>
      <w:r>
        <w:rPr>
          <w:rFonts w:ascii="Times New Roman" w:hAnsi="Times New Roman"/>
          <w:sz w:val="24"/>
        </w:rPr>
        <w:t>?</w:t>
      </w:r>
    </w:p>
    <w:p w14:paraId="3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Дети: один да четыре будет пять, два </w:t>
      </w:r>
      <w:r>
        <w:rPr>
          <w:rFonts w:ascii="Times New Roman" w:hAnsi="Times New Roman"/>
          <w:sz w:val="24"/>
        </w:rPr>
        <w:t>да три будет пять, три да два будет пять, четыре да один будет пять</w:t>
      </w:r>
    </w:p>
    <w:p w14:paraId="3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 – Молодцы, все сделали правильно. Появилась 3 строчка рецепта (на экране) Идем дальше</w:t>
      </w:r>
    </w:p>
    <w:p w14:paraId="32000000">
      <w:pPr>
        <w:rPr>
          <w:rFonts w:ascii="Times New Roman" w:hAnsi="Times New Roman"/>
          <w:sz w:val="24"/>
        </w:rPr>
      </w:pPr>
    </w:p>
    <w:p w14:paraId="3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экране – карта (движение по клеточкам)</w:t>
      </w:r>
    </w:p>
    <w:p w14:paraId="34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drawing>
          <wp:inline>
            <wp:extent cx="2486025" cy="1830188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486025" cy="18301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00000">
      <w:pPr>
        <w:rPr>
          <w:rFonts w:ascii="Times New Roman" w:hAnsi="Times New Roman"/>
          <w:sz w:val="24"/>
        </w:rPr>
      </w:pPr>
    </w:p>
    <w:p w14:paraId="36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 Что это за сказка? (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Незнайка из солнечного города</w:t>
      </w:r>
      <w:r>
        <w:rPr>
          <w:rFonts w:ascii="Times New Roman" w:hAnsi="Times New Roman"/>
          <w:sz w:val="24"/>
        </w:rPr>
        <w:t>») Незнайке</w:t>
      </w:r>
      <w:r>
        <w:rPr>
          <w:rFonts w:ascii="Times New Roman" w:hAnsi="Times New Roman"/>
          <w:sz w:val="24"/>
        </w:rPr>
        <w:t xml:space="preserve"> нужно найти одинаковые фигуры и назвать их</w:t>
      </w:r>
    </w:p>
    <w:p w14:paraId="3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Mimio</w:t>
      </w:r>
      <w:r>
        <w:rPr>
          <w:rFonts w:ascii="Times New Roman" w:hAnsi="Times New Roman"/>
          <w:sz w:val="24"/>
        </w:rPr>
        <w:t xml:space="preserve"> – игра </w:t>
      </w:r>
      <w:r>
        <w:rPr>
          <w:rFonts w:ascii="Times New Roman" w:hAnsi="Times New Roman"/>
          <w:sz w:val="24"/>
        </w:rPr>
        <w:t>«М</w:t>
      </w:r>
      <w:r>
        <w:rPr>
          <w:rFonts w:ascii="Times New Roman" w:hAnsi="Times New Roman"/>
          <w:sz w:val="24"/>
        </w:rPr>
        <w:t>емо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с геометрическими фигурами</w:t>
      </w:r>
    </w:p>
    <w:p w14:paraId="38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Появилась 4 строчка рецепта (на экране) Рецепт мы восстановили. Спешим обратно в д\с.</w:t>
      </w:r>
    </w:p>
    <w:p w14:paraId="3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33700" cy="2110751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933700" cy="21107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экране – карта (движение по клеточкам)</w:t>
      </w:r>
    </w:p>
    <w:p w14:paraId="3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drawing>
          <wp:inline>
            <wp:extent cx="2486025" cy="1830188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486025" cy="18301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 садятся на стульчики.</w:t>
      </w:r>
    </w:p>
    <w:p w14:paraId="3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 –</w:t>
      </w:r>
      <w:r>
        <w:rPr>
          <w:rFonts w:ascii="Times New Roman" w:hAnsi="Times New Roman"/>
          <w:sz w:val="24"/>
        </w:rPr>
        <w:t xml:space="preserve"> Мы восстановили рецепт. Нужно приступать к изготовлению эликсира</w:t>
      </w:r>
    </w:p>
    <w:p w14:paraId="3E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Вспомним правила работы с жидкостями?</w:t>
      </w:r>
    </w:p>
    <w:p w14:paraId="3F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Посмотрите на рецепт и выберите первый компонент. Сколько частей нужно взять? (1 часть</w:t>
      </w:r>
      <w:r>
        <w:rPr>
          <w:rFonts w:ascii="Times New Roman" w:hAnsi="Times New Roman"/>
          <w:sz w:val="24"/>
        </w:rPr>
        <w:t>). Но</w:t>
      </w:r>
      <w:r>
        <w:rPr>
          <w:rFonts w:ascii="Times New Roman" w:hAnsi="Times New Roman"/>
          <w:sz w:val="24"/>
        </w:rPr>
        <w:t xml:space="preserve"> у сосуда узкое горлышко. Как налить? (через воронку) </w:t>
      </w:r>
    </w:p>
    <w:p w14:paraId="4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Отмерь, Катя</w:t>
      </w:r>
    </w:p>
    <w:p w14:paraId="4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Андрей, посмотри сколько нужно взять второго компонента (2 капли, капает)</w:t>
      </w:r>
    </w:p>
    <w:p w14:paraId="42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 ….</w:t>
      </w:r>
      <w:r>
        <w:rPr>
          <w:rFonts w:ascii="Times New Roman" w:hAnsi="Times New Roman"/>
          <w:sz w:val="24"/>
        </w:rPr>
        <w:t>., выбери третью часть, сколько нужно взять? (3). Отмеряем, а ребята помогают считать.</w:t>
      </w:r>
    </w:p>
    <w:p w14:paraId="4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……, возьми 4 компонент. Сколько нужно взять (4). Опусти в сосуд.</w:t>
      </w:r>
    </w:p>
    <w:p w14:paraId="44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-Ребята,</w:t>
      </w:r>
      <w:r>
        <w:rPr>
          <w:rFonts w:ascii="Times New Roman" w:hAnsi="Times New Roman"/>
          <w:sz w:val="24"/>
        </w:rPr>
        <w:t xml:space="preserve"> эликсир Добра готов. Давайте вспомним какие добрые дела мы сегодня совершили. (ответы детей). Мы отправим эликсир Фее и в сказках добро всегда победит зло. (убирает сосуд в посылку)</w:t>
      </w:r>
    </w:p>
    <w:p w14:paraId="45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Рефлексия </w:t>
      </w:r>
    </w:p>
    <w:p w14:paraId="46000000">
      <w:pPr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 понравилось?</w:t>
      </w:r>
      <w:r>
        <w:rPr>
          <w:rFonts w:ascii="Times New Roman" w:hAnsi="Times New Roman"/>
          <w:sz w:val="24"/>
        </w:rPr>
        <w:t xml:space="preserve"> Что вызвало трудности</w:t>
      </w:r>
      <w:r>
        <w:rPr>
          <w:rFonts w:ascii="Times New Roman" w:hAnsi="Times New Roman"/>
          <w:sz w:val="24"/>
        </w:rPr>
        <w:t>?</w:t>
      </w:r>
    </w:p>
    <w:p w14:paraId="47000000">
      <w:pPr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Нужен ли эликсир добра в наш</w:t>
      </w:r>
      <w:r>
        <w:rPr>
          <w:rFonts w:ascii="Times New Roman" w:hAnsi="Times New Roman"/>
          <w:sz w:val="24"/>
        </w:rPr>
        <w:t>ем</w:t>
      </w:r>
      <w:r>
        <w:rPr>
          <w:rFonts w:ascii="Times New Roman" w:hAnsi="Times New Roman"/>
          <w:sz w:val="24"/>
        </w:rPr>
        <w:t xml:space="preserve"> детск</w:t>
      </w:r>
      <w:r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z w:val="24"/>
        </w:rPr>
        <w:t xml:space="preserve"> сад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>?</w:t>
      </w:r>
    </w:p>
    <w:p w14:paraId="48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49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4A000000">
      <w:pPr>
        <w:rPr>
          <w:rFonts w:ascii="Times New Roman" w:hAnsi="Times New Roman"/>
          <w:sz w:val="28"/>
        </w:rPr>
      </w:pPr>
    </w:p>
    <w:p w14:paraId="4B000000">
      <w:pPr>
        <w:rPr>
          <w:rFonts w:ascii="Times New Roman" w:hAnsi="Times New Roman"/>
          <w:sz w:val="28"/>
        </w:rPr>
      </w:pPr>
    </w:p>
    <w:p w14:paraId="4C000000">
      <w:pPr>
        <w:rPr>
          <w:rFonts w:ascii="Times New Roman" w:hAnsi="Times New Roman"/>
          <w:sz w:val="28"/>
        </w:rPr>
      </w:pPr>
    </w:p>
    <w:p w14:paraId="4D000000">
      <w:pPr>
        <w:rPr>
          <w:rFonts w:ascii="Times New Roman" w:hAnsi="Times New Roman"/>
          <w:sz w:val="28"/>
        </w:rPr>
      </w:pPr>
    </w:p>
    <w:p w14:paraId="4E000000">
      <w:pPr>
        <w:rPr>
          <w:rFonts w:ascii="Times New Roman" w:hAnsi="Times New Roman"/>
          <w:sz w:val="28"/>
        </w:rPr>
      </w:pPr>
    </w:p>
    <w:p w14:paraId="4F000000">
      <w:pPr>
        <w:rPr>
          <w:rFonts w:ascii="Times New Roman" w:hAnsi="Times New Roman"/>
          <w:sz w:val="28"/>
        </w:rPr>
      </w:pPr>
    </w:p>
    <w:p w14:paraId="5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51000000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</w:p>
    <w:p w14:paraId="52000000">
      <w:pPr>
        <w:rPr>
          <w:rFonts w:ascii="Times New Roman" w:hAnsi="Times New Roman"/>
          <w:sz w:val="32"/>
        </w:rPr>
      </w:pPr>
    </w:p>
    <w:p w14:paraId="53000000">
      <w:pPr>
        <w:rPr>
          <w:rFonts w:ascii="Times New Roman" w:hAnsi="Times New Roman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Обычный1"/>
    <w:link w:val="Style_7_ch"/>
  </w:style>
  <w:style w:styleId="Style_7_ch" w:type="character">
    <w:name w:val="Обычный1"/>
    <w:link w:val="Style_7"/>
  </w:style>
  <w:style w:styleId="Style_8" w:type="paragraph">
    <w:name w:val="Balloon Text"/>
    <w:basedOn w:val="Style_1"/>
    <w:link w:val="Style_8_ch"/>
    <w:pPr>
      <w:spacing w:after="0" w:line="240" w:lineRule="auto"/>
      <w:ind/>
    </w:pPr>
    <w:rPr>
      <w:rFonts w:ascii="Tahoma" w:hAnsi="Tahoma"/>
      <w:sz w:val="16"/>
    </w:rPr>
  </w:style>
  <w:style w:styleId="Style_8_ch" w:type="character">
    <w:name w:val="Balloon Text"/>
    <w:basedOn w:val="Style_1_ch"/>
    <w:link w:val="Style_8"/>
    <w:rPr>
      <w:rFonts w:ascii="Tahoma" w:hAnsi="Tahoma"/>
      <w:sz w:val="16"/>
    </w:rPr>
  </w:style>
  <w:style w:styleId="Style_9" w:type="paragraph">
    <w:name w:val="toc 3"/>
    <w:next w:val="Style_1"/>
    <w:link w:val="Style_9_ch"/>
    <w:uiPriority w:val="39"/>
    <w:pPr>
      <w:ind w:firstLine="0" w:left="400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0_ch" w:type="character">
    <w:name w:val="heading 5"/>
    <w:link w:val="Style_10"/>
    <w:rPr>
      <w:rFonts w:ascii="XO Thames" w:hAnsi="XO Thames"/>
      <w:b w:val="1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</w:rPr>
  </w:style>
  <w:style w:styleId="Style_13_ch" w:type="character">
    <w:name w:val="Footnote"/>
    <w:link w:val="Style_13"/>
    <w:rPr>
      <w:rFonts w:ascii="XO Thames" w:hAnsi="XO Thames"/>
    </w:rPr>
  </w:style>
  <w:style w:styleId="Style_14" w:type="paragraph">
    <w:name w:val="toc 1"/>
    <w:next w:val="Style_1"/>
    <w:link w:val="Style_14_ch"/>
    <w:uiPriority w:val="39"/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Гиперссылка1"/>
    <w:link w:val="Style_15_ch"/>
    <w:rPr>
      <w:color w:val="0000FF"/>
      <w:u w:val="single"/>
    </w:rPr>
  </w:style>
  <w:style w:styleId="Style_15_ch" w:type="character">
    <w:name w:val="Гиперссылка1"/>
    <w:link w:val="Style_15"/>
    <w:rPr>
      <w:color w:val="0000FF"/>
      <w:u w:val="single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Обычный1"/>
    <w:link w:val="Style_17_ch"/>
  </w:style>
  <w:style w:styleId="Style_17_ch" w:type="character">
    <w:name w:val="Обычный1"/>
    <w:link w:val="Style_17"/>
  </w:style>
  <w:style w:styleId="Style_18" w:type="paragraph">
    <w:name w:val="toc 9"/>
    <w:next w:val="Style_1"/>
    <w:link w:val="Style_18_ch"/>
    <w:uiPriority w:val="39"/>
    <w:pPr>
      <w:ind w:firstLine="0" w:left="1600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toc 8"/>
    <w:next w:val="Style_1"/>
    <w:link w:val="Style_20_ch"/>
    <w:uiPriority w:val="39"/>
    <w:pPr>
      <w:ind w:firstLine="0" w:left="1400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Заголовок 3 Знак"/>
    <w:link w:val="Style_21_ch"/>
    <w:rPr>
      <w:rFonts w:ascii="XO Thames" w:hAnsi="XO Thames"/>
      <w:b w:val="1"/>
      <w:sz w:val="26"/>
    </w:rPr>
  </w:style>
  <w:style w:styleId="Style_21_ch" w:type="character">
    <w:name w:val="Заголовок 3 Знак"/>
    <w:link w:val="Style_21"/>
    <w:rPr>
      <w:rFonts w:ascii="XO Thames" w:hAnsi="XO Thames"/>
      <w:b w:val="1"/>
      <w:sz w:val="26"/>
    </w:rPr>
  </w:style>
  <w:style w:styleId="Style_22" w:type="paragraph">
    <w:name w:val="Основной шрифт абзаца1"/>
    <w:link w:val="Style_22_ch"/>
  </w:style>
  <w:style w:styleId="Style_22_ch" w:type="character">
    <w:name w:val="Основной шрифт абзаца1"/>
    <w:link w:val="Style_22"/>
  </w:style>
  <w:style w:styleId="Style_23" w:type="paragraph">
    <w:name w:val="toc 5"/>
    <w:next w:val="Style_1"/>
    <w:link w:val="Style_23_ch"/>
    <w:uiPriority w:val="39"/>
    <w:pPr>
      <w:ind w:firstLine="0" w:left="800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Гиперссылка2"/>
    <w:link w:val="Style_24_ch"/>
    <w:rPr>
      <w:color w:val="0000FF"/>
      <w:u w:val="single"/>
    </w:rPr>
  </w:style>
  <w:style w:styleId="Style_24_ch" w:type="character">
    <w:name w:val="Гиперссылка2"/>
    <w:link w:val="Style_24"/>
    <w:rPr>
      <w:color w:val="0000FF"/>
      <w:u w:val="single"/>
    </w:rPr>
  </w:style>
  <w:style w:styleId="Style_25" w:type="paragraph">
    <w:name w:val="Subtitle"/>
    <w:next w:val="Style_1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Основной шрифт абзаца2"/>
    <w:link w:val="Style_26_ch"/>
  </w:style>
  <w:style w:styleId="Style_26_ch" w:type="character">
    <w:name w:val="Основной шрифт абзаца2"/>
    <w:link w:val="Style_26"/>
  </w:style>
  <w:style w:styleId="Style_27" w:type="paragraph">
    <w:name w:val="Title"/>
    <w:next w:val="Style_1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1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1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emf" Type="http://schemas.openxmlformats.org/officeDocument/2006/relationships/image"/>
  <Relationship Id="rId4" Target="media/4.emf" Type="http://schemas.openxmlformats.org/officeDocument/2006/relationships/image"/>
  <Relationship Id="rId12" Target="numbering.xml" Type="http://schemas.openxmlformats.org/officeDocument/2006/relationships/numbering"/>
  <Relationship Id="rId3" Target="media/3.emf" Type="http://schemas.openxmlformats.org/officeDocument/2006/relationships/image"/>
  <Relationship Id="rId2" Target="media/2.emf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2024-03-16T14:28:58Z</dcterms:modified>
</cp:coreProperties>
</file>