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34" w:rsidRPr="00105984" w:rsidRDefault="008E1834" w:rsidP="00105984">
      <w:pPr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8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E1834" w:rsidRPr="00105984" w:rsidRDefault="008E1834" w:rsidP="00105984">
      <w:pPr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84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№25»</w:t>
      </w:r>
    </w:p>
    <w:p w:rsidR="008E1834" w:rsidRPr="00105984" w:rsidRDefault="008E1834" w:rsidP="001059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 w:rsidP="001059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«Творческий учитель»</w:t>
      </w:r>
    </w:p>
    <w:p w:rsidR="00105984" w:rsidRDefault="00105984" w:rsidP="001059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Разработки классических и нестандартных уроков в начальной школе.</w:t>
      </w:r>
    </w:p>
    <w:p w:rsidR="00105984" w:rsidRDefault="00105984" w:rsidP="00105984">
      <w:pPr>
        <w:tabs>
          <w:tab w:val="left" w:pos="6577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 w:rsidP="001059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 иностранного языка</w:t>
      </w:r>
    </w:p>
    <w:p w:rsidR="00105984" w:rsidRDefault="00105984" w:rsidP="001059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Гладышева Ксения Евгеньевна</w:t>
      </w:r>
    </w:p>
    <w:p w:rsidR="00105984" w:rsidRDefault="00105984" w:rsidP="001059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 w:rsidP="001059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984" w:rsidRDefault="00105984" w:rsidP="001059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 Курская, 2022г.</w:t>
      </w:r>
    </w:p>
    <w:p w:rsidR="00105984" w:rsidRPr="00480733" w:rsidRDefault="00105984" w:rsidP="001059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</w:t>
      </w:r>
    </w:p>
    <w:p w:rsidR="00105984" w:rsidRDefault="00105984" w:rsidP="0010598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мы учим студентов сегодня так же, как учили вчера, мы воруем у них завтра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4807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John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807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Dewey</w:t>
      </w:r>
      <w:proofErr w:type="spellEnd"/>
    </w:p>
    <w:p w:rsidR="00105984" w:rsidRPr="00C57486" w:rsidRDefault="00105984" w:rsidP="0010598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574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Американский философ и педагог Джон </w:t>
      </w:r>
      <w:proofErr w:type="spellStart"/>
      <w:r w:rsidRPr="00C574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Дьюи</w:t>
      </w:r>
      <w:proofErr w:type="spellEnd"/>
      <w:r w:rsidRPr="00C574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был двумя руками за прогрессивную педагогику. Его концепция был направлена на воспитание творческой гибкой личности. К счастью, современные преподаватели поддерживают эти веяния, поэтому на пути к вершине знаний хороший учитель будет не подгонять вас палкой, а наоборот </w:t>
      </w:r>
      <w:proofErr w:type="gramStart"/>
      <w:r w:rsidRPr="00C574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идти</w:t>
      </w:r>
      <w:proofErr w:type="gramEnd"/>
      <w:r w:rsidRPr="00C574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впереди и вдохновлять на новые подвиги.</w:t>
      </w:r>
    </w:p>
    <w:p w:rsidR="00105984" w:rsidRPr="00480733" w:rsidRDefault="00105984" w:rsidP="001059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2F0"/>
        </w:rPr>
      </w:pPr>
    </w:p>
    <w:p w:rsidR="00105984" w:rsidRPr="00480733" w:rsidRDefault="00105984" w:rsidP="00105984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07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</w:p>
    <w:p w:rsidR="00105984" w:rsidRPr="00640679" w:rsidRDefault="00105984" w:rsidP="001059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anchor="klassicheskaya-metodika" w:history="1">
        <w:r w:rsidR="006406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</w:t>
        </w:r>
        <w:r w:rsidR="00640679" w:rsidRPr="006406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радиционный</w:t>
        </w:r>
      </w:hyperlink>
      <w:r w:rsidR="00640679" w:rsidRPr="00640679">
        <w:rPr>
          <w:rFonts w:ascii="Times New Roman" w:hAnsi="Times New Roman" w:cs="Times New Roman"/>
          <w:sz w:val="28"/>
          <w:szCs w:val="28"/>
        </w:rPr>
        <w:t xml:space="preserve"> способ</w:t>
      </w:r>
    </w:p>
    <w:p w:rsidR="00105984" w:rsidRPr="00480733" w:rsidRDefault="00105984" w:rsidP="001059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anchor="igrovoe-obuchenie-mladshikh-shkolnikov" w:history="1">
        <w:r w:rsidRPr="004807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Игровое обучение младших школьников</w:t>
        </w:r>
      </w:hyperlink>
    </w:p>
    <w:p w:rsidR="00105984" w:rsidRPr="00480733" w:rsidRDefault="00105984" w:rsidP="001059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anchor="sovety-uchitelyam-pri-ispolzovanii-igrovogo-podkhoda" w:history="1">
        <w:r w:rsidRPr="004807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Советы учителям при использовании игрового подхода</w:t>
        </w:r>
      </w:hyperlink>
    </w:p>
    <w:p w:rsidR="00105984" w:rsidRPr="00480733" w:rsidRDefault="00105984" w:rsidP="001059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anchor="osobennosti-obucheniya-detej-v-mladshej-shkole" w:history="1">
        <w:r w:rsidRPr="004807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Особенности обучения детей в младшей школе</w:t>
        </w:r>
      </w:hyperlink>
    </w:p>
    <w:p w:rsidR="00105984" w:rsidRPr="00480733" w:rsidRDefault="00105984" w:rsidP="001059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anchor="v-kachestve-zaklyucheniya" w:history="1">
        <w:r w:rsidRPr="004807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качестве заключения</w:t>
        </w:r>
      </w:hyperlink>
    </w:p>
    <w:p w:rsidR="00105984" w:rsidRDefault="001059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6AC2" w:rsidRPr="00640679" w:rsidRDefault="00516AC2" w:rsidP="00640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0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Традиционный</w:t>
      </w:r>
      <w:r w:rsidR="00F527BD" w:rsidRPr="00640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способ</w:t>
      </w:r>
      <w:r w:rsidRPr="006406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165446" w:rsidRDefault="00105984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известный подход</w:t>
      </w:r>
      <w:r w:rsidR="00165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всех значений образования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Сущность заключается в исследовании</w:t>
      </w:r>
      <w:r w:rsidR="00165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одно-два занятия грамматического правила </w:t>
      </w:r>
      <w:r w:rsidR="00165446" w:rsidRPr="00480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объяснениями на русском</w:t>
      </w:r>
      <w:r w:rsidR="0016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446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закреплением с поддержкой письменных и устных упражнений.</w:t>
      </w:r>
    </w:p>
    <w:p w:rsidR="00C52BC9" w:rsidRDefault="00165446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Преподаватель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 трудится с реб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ятами, выбирает различные виды работы: письмо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чтение, пересказ. Впрочем, дефект в том, </w:t>
      </w:r>
      <w:proofErr w:type="gramStart"/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собственно</w:t>
      </w:r>
      <w:proofErr w:type="gramEnd"/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выяснить уровень удачливости выученного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материала по причине большого 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числа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всякий раз выходит удачно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Для всеохватывающего оценивания нередко испо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льзуется монотонные тексты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не выделяют приятного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итога. Лишь только многообразные контрольные работы 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 все шансы быть показательны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ми. Нередко на это у преподавателя нет времени. К тому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же, при 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использовании лишь только данного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способа видно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что «хромает» устная речь. Дети  имеют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жность очень хорошо знать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грамматику 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компетентно писать, но </w:t>
      </w:r>
      <w:proofErr w:type="gramStart"/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испытывать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роблемы</w:t>
      </w:r>
      <w:proofErr w:type="gramEnd"/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общением на иностранном языке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свободную тем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 Этим образом, традиционный способ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и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сследованию содержит собственные</w:t>
      </w:r>
      <w:r w:rsid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1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</w:t>
      </w:r>
      <w:r w:rsidR="00C52B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особенности преподавания. 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C52BC9" w:rsidTr="00941549">
        <w:tc>
          <w:tcPr>
            <w:tcW w:w="9571" w:type="dxa"/>
            <w:gridSpan w:val="2"/>
          </w:tcPr>
          <w:p w:rsidR="00C52BC9" w:rsidRDefault="00C52BC9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Плюсы и минусы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традиционного</w:t>
            </w: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преподавания</w:t>
            </w:r>
          </w:p>
        </w:tc>
      </w:tr>
      <w:tr w:rsidR="00C52BC9" w:rsidTr="00C52BC9">
        <w:tc>
          <w:tcPr>
            <w:tcW w:w="4785" w:type="dxa"/>
          </w:tcPr>
          <w:p w:rsidR="00C52BC9" w:rsidRPr="00105984" w:rsidRDefault="00C52BC9" w:rsidP="006406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5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Преимущества</w:t>
            </w:r>
          </w:p>
        </w:tc>
        <w:tc>
          <w:tcPr>
            <w:tcW w:w="4786" w:type="dxa"/>
          </w:tcPr>
          <w:p w:rsidR="00C52BC9" w:rsidRPr="00105984" w:rsidRDefault="00C52BC9" w:rsidP="006406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5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Недостатки</w:t>
            </w:r>
          </w:p>
        </w:tc>
      </w:tr>
      <w:tr w:rsidR="00C52BC9" w:rsidTr="00C52BC9">
        <w:tc>
          <w:tcPr>
            <w:tcW w:w="4785" w:type="dxa"/>
          </w:tcPr>
          <w:p w:rsidR="00C52BC9" w:rsidRDefault="0038762A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Изучение основных правил грамматики</w:t>
            </w:r>
          </w:p>
        </w:tc>
        <w:tc>
          <w:tcPr>
            <w:tcW w:w="4786" w:type="dxa"/>
          </w:tcPr>
          <w:p w:rsidR="00C52BC9" w:rsidRDefault="001150F9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Недостаток условий для</w:t>
            </w:r>
            <w:r w:rsidR="00105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разговорной</w:t>
            </w:r>
            <w:r w:rsidR="00105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деятельности</w:t>
            </w:r>
          </w:p>
        </w:tc>
      </w:tr>
      <w:tr w:rsidR="00C52BC9" w:rsidTr="00C52BC9">
        <w:tc>
          <w:tcPr>
            <w:tcW w:w="4785" w:type="dxa"/>
          </w:tcPr>
          <w:p w:rsidR="00C52BC9" w:rsidRDefault="006A2D4D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Сравнительно легкий </w:t>
            </w:r>
            <w:proofErr w:type="gramStart"/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ходом урока</w:t>
            </w:r>
          </w:p>
        </w:tc>
        <w:tc>
          <w:tcPr>
            <w:tcW w:w="4786" w:type="dxa"/>
          </w:tcPr>
          <w:p w:rsidR="00C52BC9" w:rsidRDefault="00075A83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«Изоляция</w:t>
            </w: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от остальных предметов</w:t>
            </w:r>
          </w:p>
        </w:tc>
      </w:tr>
      <w:tr w:rsidR="00C52BC9" w:rsidTr="00C52BC9">
        <w:tc>
          <w:tcPr>
            <w:tcW w:w="4785" w:type="dxa"/>
          </w:tcPr>
          <w:p w:rsidR="00C52BC9" w:rsidRDefault="00075A83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планировать</w:t>
            </w: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занятия вплоть до минут</w:t>
            </w:r>
          </w:p>
        </w:tc>
        <w:tc>
          <w:tcPr>
            <w:tcW w:w="4786" w:type="dxa"/>
          </w:tcPr>
          <w:p w:rsidR="00C52BC9" w:rsidRDefault="00075A83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интересной и полезной взаимосвязидетей друг с другом и с преподавателем</w:t>
            </w:r>
          </w:p>
        </w:tc>
      </w:tr>
      <w:tr w:rsidR="00C52BC9" w:rsidTr="00C52BC9">
        <w:tc>
          <w:tcPr>
            <w:tcW w:w="4785" w:type="dxa"/>
          </w:tcPr>
          <w:p w:rsidR="00C52BC9" w:rsidRDefault="00075A83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Систематичность</w:t>
            </w: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4786" w:type="dxa"/>
          </w:tcPr>
          <w:p w:rsidR="00C52BC9" w:rsidRDefault="00075A83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Низкий уровень </w:t>
            </w: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словарного запаса</w:t>
            </w:r>
          </w:p>
        </w:tc>
      </w:tr>
      <w:tr w:rsidR="00C52BC9" w:rsidTr="00C52BC9">
        <w:tc>
          <w:tcPr>
            <w:tcW w:w="4785" w:type="dxa"/>
          </w:tcPr>
          <w:p w:rsidR="00C52BC9" w:rsidRDefault="00075A83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большого количества пособий</w:t>
            </w:r>
          </w:p>
        </w:tc>
        <w:tc>
          <w:tcPr>
            <w:tcW w:w="4786" w:type="dxa"/>
          </w:tcPr>
          <w:p w:rsidR="00C52BC9" w:rsidRDefault="00A00088" w:rsidP="0064067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Сложность</w:t>
            </w:r>
            <w:r w:rsidR="00075A83" w:rsidRPr="00480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оценивания усвоенного материала</w:t>
            </w:r>
          </w:p>
        </w:tc>
      </w:tr>
    </w:tbl>
    <w:p w:rsidR="00105984" w:rsidRPr="00105984" w:rsidRDefault="00105984" w:rsidP="00640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00088" w:rsidRPr="00105984" w:rsidRDefault="00A00088" w:rsidP="00640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BEF574"/>
        </w:rPr>
      </w:pPr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начальной школе этот подход</w:t>
      </w:r>
      <w:r w:rsidR="00F527BD"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реализуется</w:t>
      </w:r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виде:</w:t>
      </w:r>
    </w:p>
    <w:p w:rsidR="00A00088" w:rsidRPr="00480733" w:rsidRDefault="00A00088" w:rsidP="006406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пециализированной</w:t>
      </w:r>
      <w:r w:rsidRPr="00480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литературы,</w:t>
      </w:r>
    </w:p>
    <w:p w:rsidR="00A00088" w:rsidRPr="00480733" w:rsidRDefault="00A00088" w:rsidP="006406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письменных упражнений в рабочей тетради или рабочей книги</w:t>
      </w:r>
      <w:r w:rsidRPr="00480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00088" w:rsidRPr="00480733" w:rsidRDefault="00B10DEC" w:rsidP="006406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</w:t>
      </w:r>
      <w:r w:rsidR="00A00088" w:rsidRPr="00480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роликов, короткометражек, мультфильмов.</w:t>
      </w:r>
    </w:p>
    <w:p w:rsidR="00A00088" w:rsidRPr="00480733" w:rsidRDefault="00A00088" w:rsidP="006406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картинками, карточками, иллюстрациями.</w:t>
      </w:r>
    </w:p>
    <w:p w:rsidR="00B10DEC" w:rsidRDefault="00B10DEC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предельного результата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ур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оков следует совмещать данный подход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другими.</w:t>
      </w:r>
    </w:p>
    <w:p w:rsidR="00B10DEC" w:rsidRPr="00105984" w:rsidRDefault="00F527BD" w:rsidP="00640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</w:t>
      </w:r>
      <w:r w:rsidR="00B10DEC"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овое изучение младших школьников.</w:t>
      </w:r>
    </w:p>
    <w:p w:rsidR="00B10DEC" w:rsidRDefault="00F527BD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Почти все учителя, которые давным-давно трудятся в младших классах, отлично знакомы с психофизиологическими особенностями детей и используется лишь только игровой способ. </w:t>
      </w:r>
      <w:r w:rsidR="00B10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буквально ни разу не пойдет</w:t>
      </w:r>
      <w:r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так, </w:t>
      </w:r>
      <w:r w:rsidR="00B10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отличи</w:t>
      </w:r>
      <w:proofErr w:type="gramStart"/>
      <w:r w:rsidR="00B10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B10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всех других подходов</w:t>
      </w:r>
      <w:r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где ожидается планирование урока. </w:t>
      </w:r>
    </w:p>
    <w:p w:rsidR="00B10DEC" w:rsidRDefault="00B10DEC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урок</w:t>
      </w:r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лучше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воспринимают</w:t>
      </w:r>
      <w:proofErr w:type="gramEnd"/>
      <w:r w:rsidR="00F527BD" w:rsidRPr="00516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какого-либо другого, когда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преподаватель держится подобного плана</w:t>
      </w:r>
    </w:p>
    <w:p w:rsidR="00B10DEC" w:rsidRDefault="00B10DEC" w:rsidP="0064067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демонстрирование и зрительный контакт</w:t>
      </w:r>
    </w:p>
    <w:p w:rsidR="00B10DEC" w:rsidRDefault="00B10DEC" w:rsidP="0064067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озвучивание</w:t>
      </w:r>
      <w:r w:rsidR="007A1E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многократное повторение</w:t>
      </w:r>
    </w:p>
    <w:p w:rsidR="007A1EE7" w:rsidRDefault="007A1EE7" w:rsidP="0064067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завершение письмом</w:t>
      </w:r>
    </w:p>
    <w:p w:rsidR="00947834" w:rsidRDefault="007A1EE7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раздел </w:t>
      </w:r>
      <w:r w:rsidR="00F527BD" w:rsidRPr="007A1E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содержит собственные особенности. Так, при презентации функционирует правило: картинка в книжке – это не достаточно,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</w:t>
      </w:r>
      <w:proofErr w:type="gramStart"/>
      <w:r w:rsidR="00F527BD" w:rsidRPr="007A1E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следствие</w:t>
      </w:r>
      <w:proofErr w:type="gramEnd"/>
      <w:r w:rsidR="00F527BD" w:rsidRPr="007A1E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возможно применить вспомогательные рисунки, видео, картинки, баннеры, проектор, компьютер, или же направленные на определенную тематику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редметы. Озвучивание не должно</w:t>
      </w:r>
      <w:r w:rsidR="00F527BD" w:rsidRPr="007A1E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превосходить по продолжительности 60 секунд – впосл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едствии дети </w:t>
      </w:r>
      <w:r w:rsidRPr="00064F1E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хуже воспринимать аудио или видео не на русском.</w:t>
      </w:r>
    </w:p>
    <w:p w:rsidR="00064F1E" w:rsidRPr="00105984" w:rsidRDefault="00064F1E" w:rsidP="00640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Игры:</w:t>
      </w:r>
    </w:p>
    <w:p w:rsidR="00064F1E" w:rsidRPr="00480733" w:rsidRDefault="00064F1E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«Кто спрятался»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дети составляют много небольших слов из </w:t>
      </w:r>
      <w:r w:rsidR="003E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большого.</w:t>
      </w:r>
    </w:p>
    <w:p w:rsidR="00064F1E" w:rsidRPr="00480733" w:rsidRDefault="00064F1E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«Сюрприз»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 - живая игра, в которой можно прид</w:t>
      </w:r>
      <w:r w:rsidR="003E101D">
        <w:rPr>
          <w:rFonts w:ascii="Times New Roman" w:hAnsi="Times New Roman" w:cs="Times New Roman"/>
          <w:color w:val="000000" w:themeColor="text1"/>
          <w:sz w:val="28"/>
          <w:szCs w:val="28"/>
        </w:rPr>
        <w:t>умать много разных вариаций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. Можно завязать глаза и дать ученику потрогать предмет, который он должен описать на английском. Кроме этого, можно спрятать в коробке предмет и рассказывать о нем, не называя – пусть класс угадывает, что внутри.</w:t>
      </w:r>
    </w:p>
    <w:p w:rsidR="00064F1E" w:rsidRPr="00480733" w:rsidRDefault="00064F1E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«Проверь удачу»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 - для этой игры нужен большой алфавит или вырезанные буквы в мешочке. Идея в том, чтобы малыш вытянул и ткнул наугад в букву и назвал как можно больше слов на нее.</w:t>
      </w:r>
    </w:p>
    <w:p w:rsidR="00064F1E" w:rsidRPr="00480733" w:rsidRDefault="00064F1E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Угадайка</w:t>
      </w:r>
      <w:proofErr w:type="spellEnd"/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 - все по очереди рисуют на доске очертания предмета из пройденной лексики и угадывают.</w:t>
      </w:r>
    </w:p>
    <w:p w:rsidR="00064F1E" w:rsidRPr="00480733" w:rsidRDefault="00064F1E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«Переделки»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 - можно использовать мяч, а можно импровизированную волшебную палочку или игрушку. Преподаватель дает малышу палочку и называет слово, например, </w:t>
      </w:r>
      <w:r w:rsidR="001059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8073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proofErr w:type="spellEnd"/>
      <w:r w:rsidRPr="0048073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8073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baby</w:t>
      </w:r>
      <w:proofErr w:type="spellEnd"/>
      <w:r w:rsidR="001059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ребенок должен взмахнуть палочкой и превратить его </w:t>
      </w:r>
      <w:proofErr w:type="gramStart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множественное число. Вариантов много.</w:t>
      </w:r>
    </w:p>
    <w:p w:rsidR="00064F1E" w:rsidRPr="00480733" w:rsidRDefault="00064F1E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Дружилки</w:t>
      </w:r>
      <w:proofErr w:type="spellEnd"/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 - ученики передают игрушку по кругу и задают друг другу вопросы по пройденному материалу.</w:t>
      </w:r>
    </w:p>
    <w:p w:rsidR="003E101D" w:rsidRPr="00480733" w:rsidRDefault="003E101D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«Снежный шар»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 - первый ученик говорит новое выученное слово, второй повторяет его и добавляет свое и так далее, пока не получится набор из 10 и более слов. Вместо слов можно использовать выученные правила или грамматические примеры – все зависит от фантазии педагога. Дети сидят в кружке или стоять – не обязательно находиться за партами.</w:t>
      </w:r>
    </w:p>
    <w:p w:rsidR="003E101D" w:rsidRPr="00480733" w:rsidRDefault="003E101D" w:rsidP="00640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«Говорящий мяч»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</w:t>
      </w: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кидает мячик и говорит слово, а ученик должен кинуть ему обратно мяч с переводом.</w:t>
      </w:r>
    </w:p>
    <w:p w:rsidR="00064F1E" w:rsidRPr="00105984" w:rsidRDefault="00105984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5984">
        <w:rPr>
          <w:shd w:val="clear" w:color="auto" w:fill="FFFFFF"/>
        </w:rPr>
        <w:drawing>
          <wp:inline distT="0" distB="0" distL="0" distR="0">
            <wp:extent cx="2804658" cy="4023396"/>
            <wp:effectExtent l="19050" t="0" r="0" b="0"/>
            <wp:docPr id="3" name="Рисунок 2" descr="C:\Users\Zhelezo\Desktop\a239dce8-c4b7-4645-ac1b-5079528e9d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Zhelezo\Desktop\a239dce8-c4b7-4645-ac1b-5079528e9d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28" cy="4027944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Pr="00105984">
        <w:rPr>
          <w:shd w:val="clear" w:color="auto" w:fill="FFFFFF"/>
        </w:rPr>
        <w:drawing>
          <wp:inline distT="0" distB="0" distL="0" distR="0">
            <wp:extent cx="2812895" cy="4017941"/>
            <wp:effectExtent l="19050" t="0" r="6505" b="0"/>
            <wp:docPr id="4" name="Рисунок 1" descr="C:\Users\Zhelezo\Desktop\538d5625-cc9a-4beb-8a37-cfcc91d812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Zhelezo\Desktop\538d5625-cc9a-4beb-8a37-cfcc91d8125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75" cy="4022483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640679" w:rsidRDefault="00640679" w:rsidP="00640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E101D" w:rsidRPr="00105984" w:rsidRDefault="003E101D" w:rsidP="0064067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Рекомендации преподавателям</w:t>
      </w:r>
      <w:r w:rsidR="00105984"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 применении игрового подхода.</w:t>
      </w:r>
    </w:p>
    <w:p w:rsidR="00CD562C" w:rsidRPr="00CD562C" w:rsidRDefault="008B266D" w:rsidP="0064067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Малыши устают значительно скорее, чем другие, но и энергич</w:t>
      </w:r>
      <w:r w:rsidR="00CD562C"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ности им надо более, </w:t>
      </w:r>
      <w:proofErr w:type="gramStart"/>
      <w:r w:rsidR="00CD562C"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следствие</w:t>
      </w:r>
      <w:proofErr w:type="gramEnd"/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не опасайтесь выступать в игры с мячом, игрушками, физиологическими веществами на подобии прыжков, приседаний, хлопков. Ребятам это буквально понравится. </w:t>
      </w:r>
    </w:p>
    <w:p w:rsidR="00CD562C" w:rsidRPr="00CD562C" w:rsidRDefault="008B266D" w:rsidP="0064067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стоит переходить границы </w:t>
      </w:r>
      <w:proofErr w:type="gramStart"/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должного</w:t>
      </w:r>
      <w:proofErr w:type="gramEnd"/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анимацией, яркостью, численностью персонажей и звуков на слайдах. Это утомляет. С</w:t>
      </w:r>
      <w:r w:rsid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тоит еще припоминать, что большое</w:t>
      </w:r>
      <w:r w:rsid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562C"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текста</w:t>
      </w: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 понижает сосредоточивание.</w:t>
      </w:r>
    </w:p>
    <w:p w:rsidR="00CD562C" w:rsidRPr="00CD562C" w:rsidRDefault="008B266D" w:rsidP="0064067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вас не слушаются – не впадайте в отчаяние, чем какого-либо другого проведите выборочный опр</w:t>
      </w:r>
      <w:r w:rsid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ос, собственно что бы они хотели</w:t>
      </w: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признать и какие у </w:t>
      </w:r>
      <w:r w:rsid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 любимые</w:t>
      </w: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игры. </w:t>
      </w:r>
    </w:p>
    <w:p w:rsidR="00C0266C" w:rsidRPr="00C0266C" w:rsidRDefault="008B266D" w:rsidP="0064067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опасайтесь фантазировать. В кое-каких иностранных школах преподаватели организуют костюм</w:t>
      </w:r>
      <w:r w:rsid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ированные мероприятия</w:t>
      </w: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0266C" w:rsidRPr="00C0266C" w:rsidRDefault="008B266D" w:rsidP="0064067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ругайте детей, в случае если они не</w:t>
      </w:r>
      <w:r w:rsid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proofErr w:type="gramEnd"/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например делают поручение или же не знают, не оговаривайте перед всем классом их промахи и просчеты, не унижайте в том числе и самых отстающих учащихся. Пр</w:t>
      </w:r>
      <w:r w:rsid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еподаватель в начальной</w:t>
      </w:r>
      <w:r w:rsidRPr="00CD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школе делается довольно необходимым ближайшим человеком, соображение которого очень авторитетно. </w:t>
      </w:r>
    </w:p>
    <w:p w:rsidR="00C0266C" w:rsidRPr="00105984" w:rsidRDefault="00C0266C" w:rsidP="00640679">
      <w:pPr>
        <w:spacing w:line="360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Игры делятся </w:t>
      </w:r>
      <w:proofErr w:type="gramStart"/>
      <w:r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="008B266D" w:rsidRPr="001059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 ролевые (пьесы, диалоги, актуальные ситуации),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 импровизационные (монолог, креативные планы, общая беседа),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соревновательные (кроссворды, лото, настольные игры),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ритмо-музыкальные</w:t>
      </w:r>
      <w:proofErr w:type="spellEnd"/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(танцы, игры с мячом),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gramStart"/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художественные</w:t>
      </w:r>
      <w:proofErr w:type="gramEnd"/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(графический диктант, коллективная притча, раскрашивание, лепка). </w:t>
      </w:r>
    </w:p>
    <w:p w:rsidR="00C0266C" w:rsidRP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Комбинированное преподавание в </w:t>
      </w:r>
      <w:r w:rsidR="00C0266C" w:rsidRPr="00C026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начальных</w:t>
      </w:r>
      <w:r w:rsidRPr="00C026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классах</w:t>
      </w:r>
      <w:r w:rsidR="00C0266C" w:rsidRPr="00C026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0266C" w:rsidRDefault="00C0266C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обучении преподаватель</w:t>
      </w:r>
      <w:r w:rsidR="008B266D"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сочетает по личному усмотрению всевозможные облики работы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уроке. При смешанном подходе </w:t>
      </w:r>
      <w:r w:rsidR="008B266D"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допускается всё: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создание планов,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разучивание песенок,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использование литературы,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игры с конструктором,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разыгрывание пьес, </w:t>
      </w:r>
    </w:p>
    <w:p w:rsidR="00C0266C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творческие занятия, </w:t>
      </w:r>
    </w:p>
    <w:p w:rsidR="00371C6F" w:rsidRDefault="008B266D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экскурсии и почти все другое. </w:t>
      </w:r>
    </w:p>
    <w:p w:rsidR="00DA1207" w:rsidRDefault="00DA1207" w:rsidP="00640679">
      <w:pPr>
        <w:spacing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качестве заключения следует</w:t>
      </w:r>
      <w:r w:rsidR="00B302AC"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подытожить, что способ преподавания ребятам в младшей школе надлежит опираться на эти основы: </w:t>
      </w:r>
    </w:p>
    <w:p w:rsidR="00DA1207" w:rsidRPr="00105984" w:rsidRDefault="00B302AC" w:rsidP="0064067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Учеба сквозь общение и коммуникацию с людьми. </w:t>
      </w:r>
    </w:p>
    <w:p w:rsidR="00DA1207" w:rsidRPr="00105984" w:rsidRDefault="00DA1207" w:rsidP="0064067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Максимально личный подход</w:t>
      </w:r>
      <w:r w:rsidR="00B302AC" w:rsidRP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ученикам, как в проекте подачи материала, например и в оценивании. </w:t>
      </w:r>
    </w:p>
    <w:p w:rsidR="00DA1207" w:rsidRPr="00105984" w:rsidRDefault="00B302AC" w:rsidP="0064067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Интересная, нужная, бодрая и свежая информация как база для урока.</w:t>
      </w:r>
    </w:p>
    <w:p w:rsidR="00DA1207" w:rsidRPr="00105984" w:rsidRDefault="00B302AC" w:rsidP="0064067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Воспитание сознательности и ответственности за собственные итоги. </w:t>
      </w:r>
    </w:p>
    <w:p w:rsidR="00DA1207" w:rsidRPr="00105984" w:rsidRDefault="00105984" w:rsidP="0064067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Интеграция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иностранного</w:t>
      </w:r>
      <w:proofErr w:type="gramEnd"/>
      <w:r w:rsidR="00B302AC" w:rsidRPr="00105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остальными предметами. </w:t>
      </w:r>
    </w:p>
    <w:p w:rsidR="008B266D" w:rsidRDefault="00B302AC" w:rsidP="006406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Используя перечисленные выше критерии, </w:t>
      </w:r>
      <w:r w:rsidR="00DA12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вас </w:t>
      </w: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получится быть очень </w:t>
      </w:r>
      <w:r w:rsidR="00DA12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максимально удачным преподавателем</w:t>
      </w:r>
      <w:r w:rsidRPr="00C02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0679" w:rsidRDefault="00640679" w:rsidP="00DA12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0679" w:rsidRDefault="00640679" w:rsidP="00DA12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0679" w:rsidRDefault="00640679" w:rsidP="00DA12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0679" w:rsidRPr="00480733" w:rsidRDefault="00640679" w:rsidP="0064067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0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Используемые источники:</w:t>
      </w:r>
    </w:p>
    <w:p w:rsidR="00640679" w:rsidRPr="00480733" w:rsidRDefault="00640679" w:rsidP="00640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Бим</w:t>
      </w:r>
      <w:proofErr w:type="spellEnd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И.Л. Личностно-ориентированный подход — основная стратегия обновления школы // ИЯШ. — 2002. — № 2. — С. 11–15.</w:t>
      </w:r>
    </w:p>
    <w:p w:rsidR="00640679" w:rsidRPr="00480733" w:rsidRDefault="00640679" w:rsidP="00640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2. Гальскова Н.Д. Современная методика обучения иностранным языкам. — М., 2008. — 190 с.</w:t>
      </w:r>
    </w:p>
    <w:p w:rsidR="00640679" w:rsidRDefault="00640679" w:rsidP="00640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Гамезо</w:t>
      </w:r>
      <w:proofErr w:type="spellEnd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Петрова Е.А., Орлова Л.М. Возрастная и педагогическая психология. — М.: Педагогическое общество России, 2003. — 512 </w:t>
      </w:r>
      <w:proofErr w:type="gramStart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807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679" w:rsidRDefault="00640679" w:rsidP="00640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679" w:rsidRPr="00DA1207" w:rsidRDefault="00640679" w:rsidP="00DA120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640679" w:rsidRPr="00DA1207" w:rsidSect="0064067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2E9"/>
    <w:multiLevelType w:val="hybridMultilevel"/>
    <w:tmpl w:val="A8CE7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D32"/>
    <w:multiLevelType w:val="hybridMultilevel"/>
    <w:tmpl w:val="6CCC25EA"/>
    <w:lvl w:ilvl="0" w:tplc="D646D8B0">
      <w:numFmt w:val="bullet"/>
      <w:lvlText w:val="•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6E0EB6"/>
    <w:multiLevelType w:val="multilevel"/>
    <w:tmpl w:val="E01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036E5"/>
    <w:multiLevelType w:val="multilevel"/>
    <w:tmpl w:val="627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F10DA"/>
    <w:multiLevelType w:val="hybridMultilevel"/>
    <w:tmpl w:val="A9AEF6B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2316B65"/>
    <w:multiLevelType w:val="hybridMultilevel"/>
    <w:tmpl w:val="82AC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51E35"/>
    <w:multiLevelType w:val="hybridMultilevel"/>
    <w:tmpl w:val="684C9E5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BB604EE"/>
    <w:multiLevelType w:val="multilevel"/>
    <w:tmpl w:val="96C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621A0"/>
    <w:multiLevelType w:val="hybridMultilevel"/>
    <w:tmpl w:val="4FAA9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7BD"/>
    <w:rsid w:val="00064F1E"/>
    <w:rsid w:val="00075A83"/>
    <w:rsid w:val="00105984"/>
    <w:rsid w:val="001150F9"/>
    <w:rsid w:val="00165446"/>
    <w:rsid w:val="002D19E8"/>
    <w:rsid w:val="00371C6F"/>
    <w:rsid w:val="0038762A"/>
    <w:rsid w:val="003E101D"/>
    <w:rsid w:val="00516AC2"/>
    <w:rsid w:val="00640679"/>
    <w:rsid w:val="006A2D4D"/>
    <w:rsid w:val="007A1EE7"/>
    <w:rsid w:val="008B266D"/>
    <w:rsid w:val="008E1834"/>
    <w:rsid w:val="00947834"/>
    <w:rsid w:val="00A00088"/>
    <w:rsid w:val="00B10DEC"/>
    <w:rsid w:val="00B302AC"/>
    <w:rsid w:val="00C0266C"/>
    <w:rsid w:val="00C52BC9"/>
    <w:rsid w:val="00C8261D"/>
    <w:rsid w:val="00CD562C"/>
    <w:rsid w:val="00D565A3"/>
    <w:rsid w:val="00D97538"/>
    <w:rsid w:val="00DA1207"/>
    <w:rsid w:val="00F527BD"/>
    <w:rsid w:val="00F9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088"/>
    <w:pPr>
      <w:ind w:left="720"/>
      <w:contextualSpacing/>
    </w:pPr>
  </w:style>
  <w:style w:type="character" w:styleId="a5">
    <w:name w:val="Strong"/>
    <w:basedOn w:val="a0"/>
    <w:uiPriority w:val="22"/>
    <w:qFormat/>
    <w:rsid w:val="00064F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fl-tesol-certificate.com/blog/metodika-prepodavaniya-anglijskogo-yazyka-v-nachalnoj-shko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fl-tesol-certificate.com/blog/metodika-prepodavaniya-anglijskogo-yazyka-v-nachalnoj-shkole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fl-tesol-certificate.com/blog/metodika-prepodavaniya-anglijskogo-yazyka-v-nachalnoj-shkol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tefl-tesol-certificate.com/blog/metodika-prepodavaniya-anglijskogo-yazyka-v-nachalnoj-sh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fl-tesol-certificate.com/blog/metodika-prepodavaniya-anglijskogo-yazyka-v-nachalnoj-sh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49AA-5A17-4685-B970-72F9F7F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Zhelezo</dc:creator>
  <cp:lastModifiedBy>Zhelezo</cp:lastModifiedBy>
  <cp:revision>2</cp:revision>
  <dcterms:created xsi:type="dcterms:W3CDTF">2022-11-30T17:12:00Z</dcterms:created>
  <dcterms:modified xsi:type="dcterms:W3CDTF">2022-11-30T17:12:00Z</dcterms:modified>
</cp:coreProperties>
</file>