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right="-1051.2" w:firstLine="72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Развитие функциональной грамотности на уроках биологии.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Функциональная грамотность не включает в себя  базовые навыки чтения и письма, но учит применять эти навыки в повседневной жизни. Кроме того, функциональная грамотность позволяет анализировать информацию, принимать решения, решать проблемы, взаимодействовать с другими людьми, использовать информационные технологии и т.д.</w:t>
      </w:r>
    </w:p>
    <w:p w:rsidR="00000000" w:rsidDel="00000000" w:rsidP="00000000" w:rsidRDefault="00000000" w:rsidRPr="00000000" w14:paraId="00000004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Элементарная грамотность, с другой стороны, ограничивается основными навыками чтения, письма и базовой арифметикой. Человек, обладающий элементарной грамотностью, может читать и понимать простые тексты, писать и выполнять простейшие математические операции.</w:t>
      </w:r>
    </w:p>
    <w:p w:rsidR="00000000" w:rsidDel="00000000" w:rsidP="00000000" w:rsidRDefault="00000000" w:rsidRPr="00000000" w14:paraId="00000006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Таким образом, функциональная грамотность является более широким понятием, охватывающим все аспекты жизни человека, связанные с использованием информации и коммуникацией.</w:t>
      </w:r>
    </w:p>
    <w:p w:rsidR="00000000" w:rsidDel="00000000" w:rsidP="00000000" w:rsidRDefault="00000000" w:rsidRPr="00000000" w14:paraId="00000008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Необходимо отметить, что развитие функциональной грамотности на уроках биологии требует сотрудничества между учителем и учащимися. Учителю следует создавать подходящие условия и задания, которые позволят учащимся эффективно развивать свои навыки. В свою очередь, учащиеся должны активно участвовать в уроках, проявлять инициативу и стремиться к совершенствованию.</w:t>
      </w:r>
    </w:p>
    <w:p w:rsidR="00000000" w:rsidDel="00000000" w:rsidP="00000000" w:rsidRDefault="00000000" w:rsidRPr="00000000" w14:paraId="00000009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Выделяют 3 уровня заданий, направленных на формирование функциональной грамотности. Использовать их можно на одном из этапов урока, но для большей информативности я продемонстрирую каждый из уровней на отдельном этапе одного урока.</w:t>
      </w:r>
    </w:p>
    <w:p w:rsidR="00000000" w:rsidDel="00000000" w:rsidP="00000000" w:rsidRDefault="00000000" w:rsidRPr="00000000" w14:paraId="0000000A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разработки мною был выбран урок 9 класса на тему: "заболевание органов мочевыделения".</w:t>
      </w:r>
    </w:p>
    <w:p w:rsidR="00000000" w:rsidDel="00000000" w:rsidP="00000000" w:rsidRDefault="00000000" w:rsidRPr="00000000" w14:paraId="0000000B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этапе актуализации знаний я хотела бы продемонстрировать 1 уровень заданий для формирования функциональной грамотности - репродуктивный. Этот уровень позволяет ученику понимать и запоминать новую информацию, применять имеющиеся знания, выполняя задание по алгоритму.</w:t>
      </w:r>
    </w:p>
    <w:p w:rsidR="00000000" w:rsidDel="00000000" w:rsidP="00000000" w:rsidRDefault="00000000" w:rsidRPr="00000000" w14:paraId="0000000C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Ярким примером задания репродуктивного уровня являются различные кроссворды.</w:t>
      </w:r>
    </w:p>
    <w:p w:rsidR="00000000" w:rsidDel="00000000" w:rsidP="00000000" w:rsidRDefault="00000000" w:rsidRPr="00000000" w14:paraId="0000000D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9050" distT="19050" distL="19050" distR="19050">
            <wp:extent cx="3681413" cy="2784317"/>
            <wp:effectExtent b="0" l="0" r="0" t="0"/>
            <wp:docPr descr="Кроссворд «Выделение»" id="6" name="image2.gif"/>
            <a:graphic>
              <a:graphicData uri="http://schemas.openxmlformats.org/drawingml/2006/picture">
                <pic:pic>
                  <pic:nvPicPr>
                    <pic:cNvPr descr="Кроссворд «Выделение»" id="0" name="image2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1413" cy="27843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right="-1051.2" w:firstLine="72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1. Внутреннее вещество почки. 2. Почечный резервуар, куда собирается моча перед поступлением в мочеточник. 3. Продукт распада первичной мочи. 4. Болезнь, вызванная появлением камней в почечной лоханке или мочевом пузыре. 5. Микроскопическая единица почки, в которой происходит фильтрация плазмы крови. 6. Орган мочевыделения. 7. Круговая мышца, которая расслабляется в момент мочеиспускания. 8. Наружное вещество почки.</w:t>
      </w:r>
    </w:p>
    <w:p w:rsidR="00000000" w:rsidDel="00000000" w:rsidP="00000000" w:rsidRDefault="00000000" w:rsidRPr="00000000" w14:paraId="0000000F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II уровень – прикладной – позволяет активно использовать информацию и работать с ней. Этот уровень прекрасно подойдет для этапа приобретения новых знаний. Примером подходящих заданий является: </w:t>
      </w:r>
    </w:p>
    <w:p w:rsidR="00000000" w:rsidDel="00000000" w:rsidP="00000000" w:rsidRDefault="00000000" w:rsidRPr="00000000" w14:paraId="00000011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1.Прочитать схему и составить по ней логический рассказ.</w:t>
      </w:r>
    </w:p>
    <w:p w:rsidR="00000000" w:rsidDel="00000000" w:rsidP="00000000" w:rsidRDefault="00000000" w:rsidRPr="00000000" w14:paraId="00000012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938338" cy="2576374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8338" cy="25763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Составить кроссворд по параграфу.</w:t>
      </w:r>
    </w:p>
    <w:p w:rsidR="00000000" w:rsidDel="00000000" w:rsidP="00000000" w:rsidRDefault="00000000" w:rsidRPr="00000000" w14:paraId="00000014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Составить вопросы к содержанию теста.</w:t>
      </w:r>
    </w:p>
    <w:p w:rsidR="00000000" w:rsidDel="00000000" w:rsidP="00000000" w:rsidRDefault="00000000" w:rsidRPr="00000000" w14:paraId="00000015">
      <w:pPr>
        <w:ind w:left="0" w:right="-1051.2"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Заполнить таблицу.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right="-1051.2"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825" w:tblpY="0"/>
        <w:tblW w:w="1012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20"/>
      </w:tblPr>
      <w:tblGrid>
        <w:gridCol w:w="2600"/>
        <w:gridCol w:w="2440"/>
        <w:gridCol w:w="2480"/>
        <w:gridCol w:w="2600"/>
        <w:tblGridChange w:id="0">
          <w:tblGrid>
            <w:gridCol w:w="2600"/>
            <w:gridCol w:w="2440"/>
            <w:gridCol w:w="2480"/>
            <w:gridCol w:w="260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ind w:left="0" w:right="-1051.2" w:firstLine="72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Заболевания</w:t>
            </w:r>
          </w:p>
          <w:p w:rsidR="00000000" w:rsidDel="00000000" w:rsidP="00000000" w:rsidRDefault="00000000" w:rsidRPr="00000000" w14:paraId="00000018">
            <w:pPr>
              <w:widowControl w:val="0"/>
              <w:ind w:left="0" w:right="-1051.2" w:firstLine="72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ind w:left="0" w:right="-1051.2" w:firstLine="72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ind w:left="0" w:right="-1051.2" w:firstLine="72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Симптомы</w:t>
            </w:r>
          </w:p>
          <w:p w:rsidR="00000000" w:rsidDel="00000000" w:rsidP="00000000" w:rsidRDefault="00000000" w:rsidRPr="00000000" w14:paraId="0000001B">
            <w:pPr>
              <w:widowControl w:val="0"/>
              <w:ind w:left="0" w:right="-1051.2" w:firstLine="72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ind w:left="0" w:right="-1051.2" w:firstLine="72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Причины</w:t>
            </w:r>
          </w:p>
          <w:p w:rsidR="00000000" w:rsidDel="00000000" w:rsidP="00000000" w:rsidRDefault="00000000" w:rsidRPr="00000000" w14:paraId="0000001D">
            <w:pPr>
              <w:widowControl w:val="0"/>
              <w:ind w:left="0" w:right="-1051.2" w:firstLine="72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ind w:left="0" w:right="-1051.2" w:firstLine="72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Меры</w:t>
            </w:r>
          </w:p>
          <w:p w:rsidR="00000000" w:rsidDel="00000000" w:rsidP="00000000" w:rsidRDefault="00000000" w:rsidRPr="00000000" w14:paraId="0000001F">
            <w:pPr>
              <w:widowControl w:val="0"/>
              <w:ind w:left="0" w:right="-1051.2" w:firstLine="72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профилактики</w:t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ind w:left="0" w:right="-1051.2" w:firstLine="72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Мочекаменную болезнь</w:t>
            </w:r>
          </w:p>
        </w:tc>
        <w:tc>
          <w:tcPr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ind w:left="0" w:right="-1051.2" w:firstLine="72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ind w:left="0" w:right="-1051.2" w:firstLine="72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ind w:left="0" w:right="-1051.2" w:firstLine="72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ind w:left="0" w:right="-1051.2" w:firstLine="72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Пиелонефрит</w:t>
            </w:r>
          </w:p>
          <w:p w:rsidR="00000000" w:rsidDel="00000000" w:rsidP="00000000" w:rsidRDefault="00000000" w:rsidRPr="00000000" w14:paraId="00000025">
            <w:pPr>
              <w:widowControl w:val="0"/>
              <w:ind w:left="0" w:right="-1051.2" w:firstLine="72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ind w:left="0" w:right="-1051.2" w:firstLine="72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ind w:left="0" w:right="-1051.2" w:firstLine="72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ind w:left="0" w:right="-1051.2" w:firstLine="72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ind w:left="0" w:right="-1051.2" w:firstLine="72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Цистит</w:t>
            </w:r>
          </w:p>
          <w:p w:rsidR="00000000" w:rsidDel="00000000" w:rsidP="00000000" w:rsidRDefault="00000000" w:rsidRPr="00000000" w14:paraId="0000002A">
            <w:pPr>
              <w:widowControl w:val="0"/>
              <w:ind w:left="0" w:right="-1051.2" w:firstLine="72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ind w:left="0" w:right="-1051.2" w:firstLine="72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ind w:left="0" w:right="-1051.2" w:firstLine="72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ind w:left="0" w:right="-1051.2" w:firstLine="72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ind w:left="0" w:right="-1051.2" w:firstLine="72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Почечная недостаточность</w:t>
            </w:r>
          </w:p>
          <w:p w:rsidR="00000000" w:rsidDel="00000000" w:rsidP="00000000" w:rsidRDefault="00000000" w:rsidRPr="00000000" w14:paraId="0000002F">
            <w:pPr>
              <w:widowControl w:val="0"/>
              <w:ind w:left="0" w:right="-1051.2" w:firstLine="72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ind w:left="0" w:right="-1051.2" w:firstLine="72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ind w:left="0" w:right="-1051.2" w:firstLine="72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ind w:left="0" w:right="-1051.2" w:firstLine="72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III – самый высокий уровень, который предполагает творческое мышление и способность интегрировать новые знания в уже существующую систему. Учащийся на данном этапе способен оценить проблему, а также разработать новые методы её решения. </w:t>
      </w:r>
    </w:p>
    <w:p w:rsidR="00000000" w:rsidDel="00000000" w:rsidP="00000000" w:rsidRDefault="00000000" w:rsidRPr="00000000" w14:paraId="00000035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достижения этого уровня можно применять метод ТРКМ (технику развития критического мышления), который позволяет рассмотреть тему с разных точек зрения. Использование проектной деятельность является идеальным вариантом в данном случае. Этот метод активного обучения позволяет учащимся углубиться в предметную область и применить полученные знания на практике. Проекты в биологии могут быть разнообразными и включать в себя исследования, создание моделей, эксперименты и создание научных презентаций.</w:t>
      </w:r>
    </w:p>
    <w:p w:rsidR="00000000" w:rsidDel="00000000" w:rsidP="00000000" w:rsidRDefault="00000000" w:rsidRPr="00000000" w14:paraId="00000037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Проектная деятельность на уроке биологии имеет ряд преимуществ. Прежде всего, она способствует развитию творческого и критического мышления учащихся. Ребята выстраивают гипотезы, собирают и анализируют данные, делают выводы, что помогает им лучше понять изучаемые биологические процессы и явления.</w:t>
      </w:r>
    </w:p>
    <w:p w:rsidR="00000000" w:rsidDel="00000000" w:rsidP="00000000" w:rsidRDefault="00000000" w:rsidRPr="00000000" w14:paraId="00000039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Кроме того, проектная деятельность стимулирует самостоятельность и исследовательский подход к изучению биологии. Учащиеся сами определяют цели проекта, планируют его выполнение, собирают материалы и презентуют результаты работы.</w:t>
      </w:r>
    </w:p>
    <w:p w:rsidR="00000000" w:rsidDel="00000000" w:rsidP="00000000" w:rsidRDefault="00000000" w:rsidRPr="00000000" w14:paraId="0000003B">
      <w:pPr>
        <w:ind w:left="0" w:right="-1051.2" w:firstLine="720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Пример проекта:</w:t>
      </w:r>
    </w:p>
    <w:p w:rsidR="00000000" w:rsidDel="00000000" w:rsidP="00000000" w:rsidRDefault="00000000" w:rsidRPr="00000000" w14:paraId="0000003C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Проект</w:t>
      </w:r>
    </w:p>
    <w:p w:rsidR="00000000" w:rsidDel="00000000" w:rsidP="00000000" w:rsidRDefault="00000000" w:rsidRPr="00000000" w14:paraId="0000003D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«Заболевания мочевыделительной системы»</w:t>
      </w:r>
    </w:p>
    <w:p w:rsidR="00000000" w:rsidDel="00000000" w:rsidP="00000000" w:rsidRDefault="00000000" w:rsidRPr="00000000" w14:paraId="0000003E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Организация:</w:t>
      </w:r>
    </w:p>
    <w:p w:rsidR="00000000" w:rsidDel="00000000" w:rsidP="00000000" w:rsidRDefault="00000000" w:rsidRPr="00000000" w14:paraId="0000003F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1.класс делится на группы по 4 человека;</w:t>
      </w:r>
    </w:p>
    <w:p w:rsidR="00000000" w:rsidDel="00000000" w:rsidP="00000000" w:rsidRDefault="00000000" w:rsidRPr="00000000" w14:paraId="00000040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2.каждой группе (в случайном порядке) выдается карточка с болезнью;</w:t>
      </w:r>
    </w:p>
    <w:p w:rsidR="00000000" w:rsidDel="00000000" w:rsidP="00000000" w:rsidRDefault="00000000" w:rsidRPr="00000000" w14:paraId="00000041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3.объясняется суть работы;</w:t>
      </w:r>
    </w:p>
    <w:p w:rsidR="00000000" w:rsidDel="00000000" w:rsidP="00000000" w:rsidRDefault="00000000" w:rsidRPr="00000000" w14:paraId="00000042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4.выдаются необходимые материалы.</w:t>
      </w:r>
    </w:p>
    <w:p w:rsidR="00000000" w:rsidDel="00000000" w:rsidP="00000000" w:rsidRDefault="00000000" w:rsidRPr="00000000" w14:paraId="00000043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Суть данной работы заключается в создании макета, посвящённого случайно выбранной (из карточек учителя) болезни мочевыделительной системы.</w:t>
      </w:r>
    </w:p>
    <w:p w:rsidR="00000000" w:rsidDel="00000000" w:rsidP="00000000" w:rsidRDefault="00000000" w:rsidRPr="00000000" w14:paraId="00000044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Примерные материалы:</w:t>
      </w:r>
    </w:p>
    <w:p w:rsidR="00000000" w:rsidDel="00000000" w:rsidP="00000000" w:rsidRDefault="00000000" w:rsidRPr="00000000" w14:paraId="00000045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</w:rPr>
        <w:drawing>
          <wp:inline distB="19050" distT="19050" distL="19050" distR="19050">
            <wp:extent cx="1778989" cy="1193899"/>
            <wp:effectExtent b="57150" l="57150" r="57150" t="57150"/>
            <wp:docPr descr="92926" id="2" name="image8.jpg"/>
            <a:graphic>
              <a:graphicData uri="http://schemas.openxmlformats.org/drawingml/2006/picture">
                <pic:pic>
                  <pic:nvPicPr>
                    <pic:cNvPr descr="92926"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8989" cy="1193899"/>
                    </a:xfrm>
                    <a:prstGeom prst="rect"/>
                    <a:ln w="57150">
                      <a:solidFill>
                        <a:srgbClr val="9E8E5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</w:rPr>
        <w:drawing>
          <wp:inline distB="19050" distT="19050" distL="19050" distR="19050">
            <wp:extent cx="1193899" cy="1193899"/>
            <wp:effectExtent b="57150" l="57150" r="57150" t="57150"/>
            <wp:docPr descr="HLB1_OvbaovrK1RjSszfq6xJNVXaN" id="8" name="image3.jpg"/>
            <a:graphic>
              <a:graphicData uri="http://schemas.openxmlformats.org/drawingml/2006/picture">
                <pic:pic>
                  <pic:nvPicPr>
                    <pic:cNvPr descr="HLB1_OvbaovrK1RjSszfq6xJNVXaN"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3899" cy="1193899"/>
                    </a:xfrm>
                    <a:prstGeom prst="rect"/>
                    <a:ln w="57150">
                      <a:solidFill>
                        <a:srgbClr val="9E8E5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</w:rPr>
        <w:drawing>
          <wp:inline distB="19050" distT="19050" distL="19050" distR="19050">
            <wp:extent cx="1566863" cy="1375901"/>
            <wp:effectExtent b="57150" l="57150" r="57150" t="57150"/>
            <wp:docPr descr="3d2bfd554cde6a880f3cf88e673a88e0" id="7" name="image5.jpg"/>
            <a:graphic>
              <a:graphicData uri="http://schemas.openxmlformats.org/drawingml/2006/picture">
                <pic:pic>
                  <pic:nvPicPr>
                    <pic:cNvPr descr="3d2bfd554cde6a880f3cf88e673a88e0"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1375901"/>
                    </a:xfrm>
                    <a:prstGeom prst="rect"/>
                    <a:ln w="57150">
                      <a:solidFill>
                        <a:srgbClr val="9E8E5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</w:rPr>
        <w:drawing>
          <wp:inline distB="19050" distT="19050" distL="19050" distR="19050">
            <wp:extent cx="1221566" cy="1610246"/>
            <wp:effectExtent b="57150" l="57150" r="57150" t="57150"/>
            <wp:docPr descr="5" id="4" name="image1.jpg"/>
            <a:graphic>
              <a:graphicData uri="http://schemas.openxmlformats.org/drawingml/2006/picture">
                <pic:pic>
                  <pic:nvPicPr>
                    <pic:cNvPr descr="5"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1566" cy="1610246"/>
                    </a:xfrm>
                    <a:prstGeom prst="rect"/>
                    <a:ln w="57150">
                      <a:solidFill>
                        <a:srgbClr val="9E8E5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</w:rPr>
        <w:drawing>
          <wp:inline distB="19050" distT="19050" distL="19050" distR="19050">
            <wp:extent cx="1452563" cy="1452563"/>
            <wp:effectExtent b="57150" l="57150" r="57150" t="57150"/>
            <wp:docPr descr="379955150" id="3" name="image4.jpg"/>
            <a:graphic>
              <a:graphicData uri="http://schemas.openxmlformats.org/drawingml/2006/picture">
                <pic:pic>
                  <pic:nvPicPr>
                    <pic:cNvPr descr="379955150"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2563" cy="1452563"/>
                    </a:xfrm>
                    <a:prstGeom prst="rect"/>
                    <a:ln w="57150">
                      <a:solidFill>
                        <a:srgbClr val="9E8E5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Помимо этого учащиеся могут использовать материалы на свой выбор. К примеру: пластиковые пакеты, трубочки для коктейлей, скотч, поролоновые губки и так далее.</w:t>
      </w:r>
    </w:p>
    <w:p w:rsidR="00000000" w:rsidDel="00000000" w:rsidP="00000000" w:rsidRDefault="00000000" w:rsidRPr="00000000" w14:paraId="00000049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Такой подход позволяет учащимся развивать свою творческую мысль, а также обучаться работе в команде и самоорганизации. Самостоятельная организация деятельности дает возможность ученикам развивать свою ответственность и принимать собственные решения. Консультации учителя, при необходимости, помогают детям разрешить возникшие трудности и выстроить эффективный процесс работы. </w:t>
      </w:r>
    </w:p>
    <w:p w:rsidR="00000000" w:rsidDel="00000000" w:rsidP="00000000" w:rsidRDefault="00000000" w:rsidRPr="00000000" w14:paraId="0000004B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Самоорганизация делится на 4 этапа:</w:t>
      </w:r>
    </w:p>
    <w:p w:rsidR="00000000" w:rsidDel="00000000" w:rsidP="00000000" w:rsidRDefault="00000000" w:rsidRPr="00000000" w14:paraId="0000004C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1.разработка плана проекта;</w:t>
      </w:r>
    </w:p>
    <w:p w:rsidR="00000000" w:rsidDel="00000000" w:rsidP="00000000" w:rsidRDefault="00000000" w:rsidRPr="00000000" w14:paraId="0000004D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2.распределение ролей;</w:t>
      </w:r>
    </w:p>
    <w:p w:rsidR="00000000" w:rsidDel="00000000" w:rsidP="00000000" w:rsidRDefault="00000000" w:rsidRPr="00000000" w14:paraId="0000004E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3.подбор материалов;</w:t>
      </w:r>
    </w:p>
    <w:p w:rsidR="00000000" w:rsidDel="00000000" w:rsidP="00000000" w:rsidRDefault="00000000" w:rsidRPr="00000000" w14:paraId="0000004F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4.распределение времени на различные этапы выполнения работы.</w:t>
      </w:r>
    </w:p>
    <w:p w:rsidR="00000000" w:rsidDel="00000000" w:rsidP="00000000" w:rsidRDefault="00000000" w:rsidRPr="00000000" w14:paraId="00000050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Пример проекта по теме “Цистит”</w:t>
      </w:r>
    </w:p>
    <w:p w:rsidR="00000000" w:rsidDel="00000000" w:rsidP="00000000" w:rsidRDefault="00000000" w:rsidRPr="00000000" w14:paraId="00000052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</w:rPr>
        <w:drawing>
          <wp:inline distB="114300" distT="114300" distL="114300" distR="114300">
            <wp:extent cx="3493380" cy="4633913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93380" cy="4633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a4a4a"/>
          <w:sz w:val="24"/>
          <w:szCs w:val="24"/>
          <w:highlight w:val="white"/>
          <w:rtl w:val="0"/>
        </w:rPr>
        <w:t xml:space="preserve">Способность анализировать ситуацию и применять полученные знания в реальной жизни не приходит мгновенно, требуется длительное время и практика для повышения функциональной грамотности. Если ученик успешно осваивает эти навыки, он легко сможет ориентироваться в современном мире. Использование различных методов и заданий на уроках может сделать процесс обучения более увлекательным и результативным.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right="-1051.2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0" w:right="-1051.2"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right="-1051.2"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right="-1051.2"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sectPr>
      <w:headerReference r:id="rId14" w:type="default"/>
      <w:pgSz w:h="16838" w:w="11906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/>
    <w:rPr>
      <w:rFonts w:ascii="Calibri" w:cs="Calibri" w:eastAsia="Calibri" w:hAnsi="Calibri"/>
      <w:b w:val="0"/>
      <w:i w:val="0"/>
      <w:color w:val="00000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efede9" w:val="clear"/>
    </w:tcPr>
    <w:tblStylePr w:type="band1Horz">
      <w:pPr/>
      <w:rPr>
        <w:b w:val="0"/>
        <w:i w:val="0"/>
      </w:rPr>
      <w:tcPr>
        <w:shd w:fill="dedad1" w:val="clear"/>
      </w:tcPr>
    </w:tblStylePr>
    <w:tblStylePr w:type="band1Vert">
      <w:pPr/>
      <w:rPr>
        <w:b w:val="0"/>
        <w:i w:val="0"/>
      </w:rPr>
      <w:tcPr>
        <w:shd w:fill="dedad1" w:val="clear"/>
      </w:tcPr>
    </w:tblStylePr>
    <w:tblStylePr w:type="band2Horz">
      <w:pPr/>
      <w:rPr>
        <w:b w:val="0"/>
        <w:i w:val="0"/>
      </w:rPr>
      <w:tcPr/>
    </w:tblStylePr>
    <w:tblStylePr w:type="band2Vert">
      <w:pPr/>
      <w:rPr>
        <w:b w:val="0"/>
        <w:i w:val="0"/>
      </w:rPr>
      <w:tcPr/>
    </w:tblStylePr>
    <w:tblStylePr w:type="firstCol">
      <w:pPr/>
      <w:rPr>
        <w:rFonts w:ascii="Calibri" w:cs="Calibri" w:eastAsia="Calibri" w:hAnsi="Calibri"/>
        <w:b w:val="1"/>
        <w:i w:val="0"/>
        <w:color w:val="ffffff"/>
      </w:rPr>
      <w:tcPr>
        <w:shd w:fill="9e8e5c" w:val="clear"/>
      </w:tcPr>
    </w:tblStylePr>
    <w:tblStylePr w:type="firstRow">
      <w:pPr/>
      <w:rPr>
        <w:rFonts w:ascii="Calibri" w:cs="Calibri" w:eastAsia="Calibri" w:hAnsi="Calibri"/>
        <w:b w:val="1"/>
        <w:i w:val="0"/>
        <w:color w:val="ffffff"/>
      </w:rPr>
      <w:tcPr>
        <w:tcBorders>
          <w:bottom w:color="ffffff" w:space="0" w:sz="24" w:val="single"/>
        </w:tcBorders>
        <w:shd w:fill="9e8e5c" w:val="clear"/>
      </w:tcPr>
    </w:tblStylePr>
    <w:tblStylePr w:type="lastCol">
      <w:pPr/>
      <w:rPr>
        <w:rFonts w:ascii="Calibri" w:cs="Calibri" w:eastAsia="Calibri" w:hAnsi="Calibri"/>
        <w:b w:val="1"/>
        <w:i w:val="0"/>
        <w:color w:val="ffffff"/>
      </w:rPr>
      <w:tcPr>
        <w:shd w:fill="9e8e5c" w:val="clear"/>
      </w:tcPr>
    </w:tblStylePr>
    <w:tblStylePr w:type="lastRow">
      <w:pPr/>
      <w:rPr>
        <w:rFonts w:ascii="Calibri" w:cs="Calibri" w:eastAsia="Calibri" w:hAnsi="Calibri"/>
        <w:b w:val="1"/>
        <w:i w:val="0"/>
        <w:color w:val="ffffff"/>
      </w:rPr>
      <w:tcPr>
        <w:tcBorders>
          <w:top w:color="ffffff" w:space="0" w:sz="24" w:val="single"/>
        </w:tcBorders>
        <w:shd w:fill="9e8e5c" w:val="clear"/>
      </w:tcPr>
    </w:tblStylePr>
    <w:tblStylePr w:type="neCell">
      <w:pPr/>
      <w:rPr>
        <w:b w:val="0"/>
        <w:i w:val="0"/>
      </w:rPr>
      <w:tcPr/>
    </w:tblStylePr>
    <w:tblStylePr w:type="nwCell">
      <w:pPr/>
      <w:rPr>
        <w:b w:val="0"/>
        <w:i w:val="0"/>
      </w:rPr>
      <w:tcPr/>
    </w:tblStylePr>
    <w:tblStylePr w:type="seCell">
      <w:pPr/>
      <w:rPr>
        <w:b w:val="0"/>
        <w:i w:val="0"/>
      </w:rPr>
      <w:tcPr/>
    </w:tblStylePr>
    <w:tblStylePr w:type="swCell">
      <w:pPr/>
      <w:rPr>
        <w:b w:val="0"/>
        <w:i w:val="0"/>
      </w:rPr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5.jpg"/><Relationship Id="rId13" Type="http://schemas.openxmlformats.org/officeDocument/2006/relationships/image" Target="media/image6.pn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gif"/><Relationship Id="rId7" Type="http://schemas.openxmlformats.org/officeDocument/2006/relationships/image" Target="media/image7.png"/><Relationship Id="rId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