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D3" w:rsidRPr="000347BE" w:rsidRDefault="004B2FFD" w:rsidP="000347BE">
      <w:pPr>
        <w:spacing w:after="0" w:line="360" w:lineRule="auto"/>
        <w:ind w:firstLine="709"/>
        <w:jc w:val="center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МОДЕЛЬ ИНКЛЮЗИВНОЙ ПРАКТИКИ </w:t>
      </w:r>
      <w:bookmarkStart w:id="0" w:name="_GoBack"/>
      <w:bookmarkEnd w:id="0"/>
      <w:r w:rsidR="005776EE" w:rsidRPr="000347BE">
        <w:rPr>
          <w:rStyle w:val="q4iawc"/>
          <w:rFonts w:ascii="Times New Roman" w:hAnsi="Times New Roman" w:cs="Times New Roman"/>
          <w:sz w:val="24"/>
          <w:szCs w:val="24"/>
        </w:rPr>
        <w:t>ВКЛЮЧЕНИЯ,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В ИННОВАЦИОННУЮ СРЕДУ ОБУЧЕНИЯ</w:t>
      </w:r>
    </w:p>
    <w:p w:rsidR="004B2FFD" w:rsidRPr="00B32247" w:rsidRDefault="004B2FFD" w:rsidP="00034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FD" w:rsidRPr="000347BE" w:rsidRDefault="004B2FFD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b/>
          <w:sz w:val="24"/>
          <w:szCs w:val="24"/>
        </w:rPr>
        <w:t>Аннотация: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Предоставление образования учащимся с ограниченными возможностями</w:t>
      </w:r>
      <w:r w:rsidR="000347BE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="000347BE">
        <w:rPr>
          <w:rStyle w:val="q4iawc"/>
          <w:rFonts w:ascii="Times New Roman" w:hAnsi="Times New Roman" w:cs="Times New Roman"/>
          <w:sz w:val="24"/>
          <w:szCs w:val="24"/>
        </w:rPr>
        <w:t>здоровья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обсуждалось с тех пор, как термин «инклюзивное образование» был частью образовательного дискурса. </w:t>
      </w:r>
      <w:r w:rsidR="0035704C" w:rsidRPr="0035704C">
        <w:rPr>
          <w:rStyle w:val="q4iawc"/>
          <w:rFonts w:ascii="Times New Roman" w:hAnsi="Times New Roman" w:cs="Times New Roman"/>
          <w:bCs/>
          <w:sz w:val="24"/>
          <w:szCs w:val="24"/>
        </w:rPr>
        <w:t xml:space="preserve">Базовая проблема инклюзивного образования – создание </w:t>
      </w:r>
      <w:proofErr w:type="spellStart"/>
      <w:r w:rsidR="0035704C" w:rsidRPr="0035704C">
        <w:rPr>
          <w:rStyle w:val="q4iawc"/>
          <w:rFonts w:ascii="Times New Roman" w:hAnsi="Times New Roman" w:cs="Times New Roman"/>
          <w:bCs/>
          <w:sz w:val="24"/>
          <w:szCs w:val="24"/>
        </w:rPr>
        <w:t>безбарьерной</w:t>
      </w:r>
      <w:proofErr w:type="spellEnd"/>
      <w:r w:rsidR="0035704C" w:rsidRPr="0035704C">
        <w:rPr>
          <w:rStyle w:val="q4iawc"/>
          <w:rFonts w:ascii="Times New Roman" w:hAnsi="Times New Roman" w:cs="Times New Roman"/>
          <w:bCs/>
          <w:sz w:val="24"/>
          <w:szCs w:val="24"/>
        </w:rPr>
        <w:t xml:space="preserve"> образовательной среды.</w:t>
      </w:r>
      <w:r w:rsidR="0035704C">
        <w:rPr>
          <w:rStyle w:val="a5"/>
        </w:rPr>
        <w:t xml:space="preserve"> 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Инновационные среды обучения открывают возможность для новых дискуссий об инклюзивном образовании и системных изменениях. В этой статье представлена ​​модель, призванная восполнить пробелы в существующих моделях инновационных сред обучения. </w:t>
      </w:r>
    </w:p>
    <w:p w:rsidR="004B2FFD" w:rsidRPr="000347BE" w:rsidRDefault="004B2FFD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инклюзивное образование, инновационное обучение, учащиеся с ограниченными возможностями здоровья, среда обучения, образовательный дискурс.</w:t>
      </w:r>
    </w:p>
    <w:p w:rsidR="004B2FFD" w:rsidRPr="000347BE" w:rsidRDefault="004B2FFD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</w:p>
    <w:p w:rsidR="004B2FFD" w:rsidRPr="000347BE" w:rsidRDefault="004B2FFD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Глобальные шаги в сфере образования, направленные на удовлетворение </w:t>
      </w:r>
      <w:proofErr w:type="gramStart"/>
      <w:r w:rsidRPr="000347BE">
        <w:rPr>
          <w:rStyle w:val="q4iawc"/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учащихся в двадцать первом веке, привели к отходу от традиционных уроков, предписываемых и </w:t>
      </w:r>
      <w:r w:rsidR="000347BE">
        <w:rPr>
          <w:rStyle w:val="q4iawc"/>
          <w:rFonts w:ascii="Times New Roman" w:hAnsi="Times New Roman" w:cs="Times New Roman"/>
          <w:sz w:val="24"/>
          <w:szCs w:val="24"/>
        </w:rPr>
        <w:t>проводимых учителем, к обуче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 xml:space="preserve">нию, направленному на учащегося.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Наряду с этим произошел переход от традиционных однокамерных классных комнат к </w:t>
      </w:r>
      <w:r w:rsidR="000347BE">
        <w:rPr>
          <w:rStyle w:val="q4iawc"/>
          <w:rFonts w:ascii="Times New Roman" w:hAnsi="Times New Roman" w:cs="Times New Roman"/>
          <w:sz w:val="24"/>
          <w:szCs w:val="24"/>
        </w:rPr>
        <w:t>инновационным средам обучения (И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С</w:t>
      </w:r>
      <w:r w:rsidR="000347BE">
        <w:rPr>
          <w:rStyle w:val="q4iawc"/>
          <w:rFonts w:ascii="Times New Roman" w:hAnsi="Times New Roman" w:cs="Times New Roman"/>
          <w:sz w:val="24"/>
          <w:szCs w:val="24"/>
        </w:rPr>
        <w:t>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), где стены открыты, есть комнаты отдыха, гибкая мебель и легкодоступные технологии. Пространства формирую</w:t>
      </w:r>
      <w:r w:rsidR="000347BE">
        <w:rPr>
          <w:rStyle w:val="q4iawc"/>
          <w:rFonts w:ascii="Times New Roman" w:hAnsi="Times New Roman" w:cs="Times New Roman"/>
          <w:sz w:val="24"/>
          <w:szCs w:val="24"/>
        </w:rPr>
        <w:t xml:space="preserve">т социокультурные отношения, а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социальные практики, формальное обучение и неформальные социальные взаимодействия меняют природу, использо</w:t>
      </w:r>
      <w:r w:rsidR="000347BE">
        <w:rPr>
          <w:rStyle w:val="q4iawc"/>
          <w:rFonts w:ascii="Times New Roman" w:hAnsi="Times New Roman" w:cs="Times New Roman"/>
          <w:sz w:val="24"/>
          <w:szCs w:val="24"/>
        </w:rPr>
        <w:t>вание и восприятие пространства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1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</w:p>
    <w:p w:rsidR="00B32247" w:rsidRDefault="00F97164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Соединяя </w:t>
      </w:r>
      <w:r w:rsidR="00B32247">
        <w:rPr>
          <w:rStyle w:val="q4iawc"/>
          <w:rFonts w:ascii="Times New Roman" w:hAnsi="Times New Roman" w:cs="Times New Roman"/>
          <w:sz w:val="24"/>
          <w:szCs w:val="24"/>
        </w:rPr>
        <w:t>социально-экологическую</w:t>
      </w:r>
      <w:r w:rsidR="00B32247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концепцию с </w:t>
      </w:r>
      <w:r w:rsidR="00B32247">
        <w:rPr>
          <w:rStyle w:val="q4iawc"/>
          <w:rFonts w:ascii="Times New Roman" w:hAnsi="Times New Roman" w:cs="Times New Roman"/>
          <w:sz w:val="24"/>
          <w:szCs w:val="24"/>
        </w:rPr>
        <w:t>инклюзивным образованием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Андерсон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,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 xml:space="preserve">Бойл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704DC">
        <w:rPr>
          <w:rStyle w:val="q4iawc"/>
          <w:rFonts w:ascii="Times New Roman" w:hAnsi="Times New Roman" w:cs="Times New Roman"/>
          <w:sz w:val="24"/>
          <w:szCs w:val="24"/>
        </w:rPr>
        <w:t>Деппелер</w:t>
      </w:r>
      <w:proofErr w:type="spellEnd"/>
      <w:r w:rsidR="00E704DC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предположили, что «школы не изолированы от сообществ и более широких государственных, национальных, глобальных и исторических контекстов, в которых они работают»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2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Поскольку </w:t>
      </w:r>
      <w:r w:rsidR="00B32247">
        <w:rPr>
          <w:rStyle w:val="q4iawc"/>
          <w:rFonts w:ascii="Times New Roman" w:hAnsi="Times New Roman" w:cs="Times New Roman"/>
          <w:sz w:val="24"/>
          <w:szCs w:val="24"/>
        </w:rPr>
        <w:t>инклюзивное образование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является социальной конструкцией, отношения между различными частями должны учитываться при любом проекте </w:t>
      </w:r>
      <w:r w:rsidR="00B32247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, который стремится учитывать потребности всех учащихся. Опираясь на структуру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Андерсона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, мы предлагаем модель теории экологических систем, которая рассматривает среду и факторы, находящиеся в соответствующих системах, в том, что касается их отношения к </w:t>
      </w:r>
      <w:r w:rsidR="00F85FDC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и учащимся с ограниченными возможностями. Модель «Экология инклюзивного образования в инновационной среде обучения», изображенная на рисунке 1, направлена ​​на обеспечение концептуальной основы для архитекторов, проектировщиков и политиков, чтобы они могли понять и принять соответствующие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lastRenderedPageBreak/>
        <w:t>решения о сложных явлениях инклюзивного школьного дизайна. Структура фокусирует внимание на влиянии дизайна школы на практику и педагогику и, в конечном счете, на учащихся и их способность к успеху. Модель предоставляет заинтересованным сторонам основу для достижения максимальных положительных результатов для учащихся с ограниченными возможностями</w:t>
      </w:r>
      <w:r w:rsidR="00B32247">
        <w:rPr>
          <w:rStyle w:val="q4iawc"/>
          <w:rFonts w:ascii="Times New Roman" w:hAnsi="Times New Roman" w:cs="Times New Roman"/>
          <w:sz w:val="24"/>
          <w:szCs w:val="24"/>
        </w:rPr>
        <w:t xml:space="preserve"> здоровья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Каждый аспект модели — учащийся, возможности, дизайн, школа и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ресурсы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— согласуется как совокупность систем. Эти системы описаны ниже, чтобы проиллюстрировать их взаимосвязанность.</w: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06.95pt;margin-top:18.3pt;width:269.25pt;height:192pt;z-index:251659264"/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3.2pt;margin-top:4.65pt;width:90.75pt;height:22.3pt;z-index:251668480" stroked="f">
            <v:textbox style="mso-next-textbox:#_x0000_s1036">
              <w:txbxContent>
                <w:p w:rsidR="00F85FDC" w:rsidRPr="005B6242" w:rsidRDefault="0052311E" w:rsidP="00F85FD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Ресурсы</w:t>
                  </w:r>
                </w:p>
              </w:txbxContent>
            </v:textbox>
          </v:shape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199.2pt;margin-top:17.4pt;width:80.25pt;height:23.25pt;z-index:251667456" stroked="f">
            <v:textbox style="mso-next-textbox:#_x0000_s1035">
              <w:txbxContent>
                <w:p w:rsidR="00F85FDC" w:rsidRPr="005B6242" w:rsidRDefault="00F85FDC" w:rsidP="00F85FD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38.45pt;margin-top:9.9pt;width:205.5pt;height:159pt;z-index:251660288"/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160.95pt;margin-top:19.95pt;width:156.75pt;height:128.25pt;z-index:251661312"/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93.2pt;margin-top:13.5pt;width:90.75pt;height:23.25pt;z-index:251666432" stroked="f">
            <v:textbox style="mso-next-textbox:#_x0000_s1034">
              <w:txbxContent>
                <w:p w:rsidR="00F85FDC" w:rsidRPr="005B6242" w:rsidRDefault="00F85FDC" w:rsidP="00F85FD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Дизайн</w:t>
                  </w:r>
                </w:p>
              </w:txbxContent>
            </v:textbox>
          </v:shape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76.7pt;margin-top:16.05pt;width:123pt;height:90.75pt;z-index:251662336"/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93.2pt;margin-top:11.1pt;width:90.75pt;height:23.25pt;z-index:251665408" stroked="f">
            <v:textbox style="mso-next-textbox:#_x0000_s1033">
              <w:txbxContent>
                <w:p w:rsidR="005B6242" w:rsidRPr="005B6242" w:rsidRDefault="00F85FDC" w:rsidP="005B62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Возможности</w:t>
                  </w:r>
                </w:p>
              </w:txbxContent>
            </v:textbox>
          </v:shape>
        </w:pict>
      </w:r>
    </w:p>
    <w:p w:rsidR="00B32247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93.2pt;margin-top:13.65pt;width:90.75pt;height:51.75pt;z-index:251663360"/>
        </w:pict>
      </w:r>
    </w:p>
    <w:p w:rsidR="005B6242" w:rsidRDefault="005776E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203.7pt;margin-top:6.8pt;width:70.5pt;height:19.5pt;z-index:251664384" stroked="f">
            <v:textbox>
              <w:txbxContent>
                <w:p w:rsidR="005B6242" w:rsidRPr="005B6242" w:rsidRDefault="005B6242" w:rsidP="005B62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B6242">
                    <w:rPr>
                      <w:rFonts w:ascii="Times New Roman" w:hAnsi="Times New Roman" w:cs="Times New Roman"/>
                      <w:sz w:val="24"/>
                    </w:rPr>
                    <w:t>Ученик</w:t>
                  </w:r>
                </w:p>
              </w:txbxContent>
            </v:textbox>
          </v:shape>
        </w:pict>
      </w:r>
    </w:p>
    <w:p w:rsidR="00F85FDC" w:rsidRDefault="00F85FDC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</w:p>
    <w:p w:rsidR="005B6242" w:rsidRPr="00B32247" w:rsidRDefault="00F85FDC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Рисунок 1 - Модель "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Экология инклюзивного образования в инновационной среде обучения</w:t>
      </w:r>
      <w:r>
        <w:rPr>
          <w:rStyle w:val="q4iawc"/>
          <w:rFonts w:ascii="Times New Roman" w:hAnsi="Times New Roman" w:cs="Times New Roman"/>
          <w:sz w:val="24"/>
          <w:szCs w:val="24"/>
        </w:rPr>
        <w:t>"</w:t>
      </w:r>
    </w:p>
    <w:p w:rsidR="00F85FDC" w:rsidRDefault="00F85FDC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</w:p>
    <w:p w:rsidR="00F97164" w:rsidRPr="00B32247" w:rsidRDefault="00F85FDC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У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>чащийся занимает центральное место в этой модели, поскольку на его образовательный опыт по-разному влияет каждая из окружающих его сред.</w:t>
      </w:r>
      <w:r w:rsidR="00F97164" w:rsidRPr="000347BE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>В основе лежит успех учащихся в обучении, и решения по проектированию должны определяться социальными, академическими и физическими потребностями учащихся.</w:t>
      </w:r>
      <w:r w:rsidR="00F97164" w:rsidRPr="000347BE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:rsidR="00AA6AD7" w:rsidRPr="00B32247" w:rsidRDefault="00F97164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При наличии возможностей для совместной работы учащиеся с ограниченными возможностями </w:t>
      </w:r>
      <w:r w:rsidR="008A4E91">
        <w:rPr>
          <w:rStyle w:val="q4iawc"/>
          <w:rFonts w:ascii="Times New Roman" w:hAnsi="Times New Roman" w:cs="Times New Roman"/>
          <w:sz w:val="24"/>
          <w:szCs w:val="24"/>
        </w:rPr>
        <w:t xml:space="preserve">здоровья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могут поддерживать друг друга в учебе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3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Кроме того, переосмысление контекста обучения путем внедрения моделей, способствующих межличностному взаимодействию, может принести пользу учащимся с ограниченными возможностями. Инклюзивный дизайн, практика и педагогика, которые способствуют социальной доступности, открывают возможности как для высококачественного обучения, так и для развития безопасных и поддерживающих отношений для всех учащихся. </w:t>
      </w:r>
    </w:p>
    <w:p w:rsidR="00AA6AD7" w:rsidRPr="00B32247" w:rsidRDefault="00F97164" w:rsidP="00F85FDC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b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Индивидуальные возможности описываются как возможные действия, доступные в окружающей среде, относительно возможностей человека. В </w:t>
      </w:r>
      <w:r w:rsidR="00F85FDC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это включает в себя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lastRenderedPageBreak/>
        <w:t>доступ учащегося к соответствующим способам общения и возможности участия в совместной деятельности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:rsidR="00F97164" w:rsidRPr="00B32247" w:rsidRDefault="008A4E91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С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также 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уделить внимание поддержке академических или образовательных возможностей, которые являются свойствами учебной среды, повышающей учебный потенциал учащихся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2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Дизайн </w:t>
      </w:r>
      <w:r w:rsidR="00F85FDC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может способствовать академической успеваемости за счет </w:t>
      </w:r>
      <w:r w:rsidR="00F85FDC">
        <w:rPr>
          <w:rStyle w:val="q4iawc"/>
          <w:rFonts w:ascii="Times New Roman" w:hAnsi="Times New Roman" w:cs="Times New Roman"/>
          <w:sz w:val="24"/>
          <w:szCs w:val="24"/>
        </w:rPr>
        <w:t>максимальной вовлеченности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посредством применения трех принципов: множественные средства представления (учебная программа), вовлеченность (педагогика) и выражение (оценка)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="00F97164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Эти инклюзивные практики и педагогика предоставляют учащимся с ограниченными возможностями возможности заниматься образованием способами, которые наилучшим образом соответствуют их потребностям.</w:t>
      </w:r>
    </w:p>
    <w:p w:rsidR="00AA6AD7" w:rsidRPr="00B32247" w:rsidRDefault="00AA6AD7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Связь между дизайном среды обучения и успеваемостью учащихся вызывала значительный интерес у исследователей в течение последних двух десятилетий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4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7BE">
        <w:rPr>
          <w:rStyle w:val="q4iawc"/>
          <w:rFonts w:ascii="Times New Roman" w:hAnsi="Times New Roman" w:cs="Times New Roman"/>
          <w:sz w:val="24"/>
          <w:szCs w:val="24"/>
        </w:rPr>
        <w:t>Барретт</w:t>
      </w:r>
      <w:proofErr w:type="spellEnd"/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и др. обнаружили, что «различия в физическом дизайне классных комнат объясняют 16% различий в успеваемости в течение года»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3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>С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уществует корреляция между улучшением успеваемости учащихся и их учебной средой. Однако, как указывают эти авторы, существует необходимость в </w:t>
      </w:r>
      <w:proofErr w:type="spellStart"/>
      <w:r w:rsidRPr="000347BE">
        <w:rPr>
          <w:rStyle w:val="q4iawc"/>
          <w:rFonts w:ascii="Times New Roman" w:hAnsi="Times New Roman" w:cs="Times New Roman"/>
          <w:sz w:val="24"/>
          <w:szCs w:val="24"/>
        </w:rPr>
        <w:t>лонгитюдной</w:t>
      </w:r>
      <w:proofErr w:type="spellEnd"/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оценке. Общие принципы проектирования 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включают рекомендации по 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>уровню освещенности, открытости пространства и выборе цветов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, чтобы учебные пространства воспринимались их пользователями как открытые и естественные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3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Это описание пространственного дизайна для типичного ученика контрастирует с рядом дизайнов, которые могут удовлетворить </w:t>
      </w:r>
      <w:proofErr w:type="gramStart"/>
      <w:r w:rsidRPr="000347BE">
        <w:rPr>
          <w:rStyle w:val="q4iawc"/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 xml:space="preserve"> здоровья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</w:p>
    <w:p w:rsidR="00AA6AD7" w:rsidRPr="00B32247" w:rsidRDefault="00AA6AD7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В идеальной ситуации проектирование и строительство помещений происходило бы параллельно с проектированием и построением педагогики, учебного плана и </w:t>
      </w:r>
      <w:proofErr w:type="gramStart"/>
      <w:r w:rsidRPr="000347BE">
        <w:rPr>
          <w:rStyle w:val="q4iawc"/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и практики оценивания в каждой отдельной школе, и у учителей была бы возможность участвовать в профессиональном обучении, необходимом для лучшего понимания того, как преподавать совместно с коллегами и удовлетворять потребности всех учащихся 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И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зменение самого пространства не приведет к переключению учителей на инновационную педагогику, если они не будут подготовлены и обеспечены необходимыми навыками, инструментами и ресурсами для изменения своей практики преподавания. </w:t>
      </w:r>
    </w:p>
    <w:p w:rsidR="00AA6AD7" w:rsidRPr="00B32247" w:rsidRDefault="00AA6AD7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Учителя более позитивно оценивают свою способность проводить инклюзивные практики, когда они хорошо обеспечены ресурсами 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B"/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t>5</w:t>
      </w:r>
      <w:r w:rsidR="00E704DC">
        <w:rPr>
          <w:rStyle w:val="q4iawc"/>
          <w:rFonts w:ascii="Times New Roman" w:hAnsi="Times New Roman" w:cs="Times New Roman"/>
          <w:sz w:val="24"/>
          <w:szCs w:val="24"/>
        </w:rPr>
        <w:sym w:font="Symbol" w:char="F05D"/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. Важное предостережение заключается в том, что ресурсы должны распространяться в зависимости от контекста, в котором происходит преподавание и обучение. Ресурсы в 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будут выглядеть иначе, чем в традиционных школах, поскольку способы преподавания и обучения в этих 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lastRenderedPageBreak/>
        <w:t xml:space="preserve">пространствах различны. Существует опасность того, что если модель ресурсов не изменится, чтобы соответствовать контексту 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, учителя не будут чувствовать, что у них есть инструменты, необходимые для предоставления образования учащимся с ограниченными возможностями</w:t>
      </w:r>
      <w:r w:rsidR="0052311E">
        <w:rPr>
          <w:rStyle w:val="q4iawc"/>
          <w:rFonts w:ascii="Times New Roman" w:hAnsi="Times New Roman" w:cs="Times New Roman"/>
          <w:sz w:val="24"/>
          <w:szCs w:val="24"/>
        </w:rPr>
        <w:t xml:space="preserve"> здоровья</w:t>
      </w:r>
      <w:r w:rsidRPr="000347BE">
        <w:rPr>
          <w:rStyle w:val="q4iawc"/>
          <w:rFonts w:ascii="Times New Roman" w:hAnsi="Times New Roman" w:cs="Times New Roman"/>
          <w:sz w:val="24"/>
          <w:szCs w:val="24"/>
        </w:rPr>
        <w:t>.</w:t>
      </w:r>
    </w:p>
    <w:p w:rsidR="003975FA" w:rsidRPr="00B32247" w:rsidRDefault="0052311E" w:rsidP="000347BE">
      <w:pPr>
        <w:spacing w:after="0" w:line="360" w:lineRule="auto"/>
        <w:ind w:firstLine="709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Так сложилось, что п</w:t>
      </w:r>
      <w:r w:rsidR="003975FA" w:rsidRPr="000347BE">
        <w:rPr>
          <w:rStyle w:val="q4iawc"/>
          <w:rFonts w:ascii="Times New Roman" w:hAnsi="Times New Roman" w:cs="Times New Roman"/>
          <w:sz w:val="24"/>
          <w:szCs w:val="24"/>
        </w:rPr>
        <w:t>ри проектировании школ для учащихся с ограниченными возможностями</w:t>
      </w:r>
      <w:r>
        <w:rPr>
          <w:rStyle w:val="q4iawc"/>
          <w:rFonts w:ascii="Times New Roman" w:hAnsi="Times New Roman" w:cs="Times New Roman"/>
          <w:sz w:val="24"/>
          <w:szCs w:val="24"/>
        </w:rPr>
        <w:t xml:space="preserve"> здоровья</w:t>
      </w:r>
      <w:r w:rsidR="003975FA" w:rsidRPr="000347BE">
        <w:rPr>
          <w:rStyle w:val="q4iawc"/>
          <w:rFonts w:ascii="Times New Roman" w:hAnsi="Times New Roman" w:cs="Times New Roman"/>
          <w:sz w:val="24"/>
          <w:szCs w:val="24"/>
        </w:rPr>
        <w:t xml:space="preserve"> в лучшем случае учитывались отдельные вопросы, а в худшем - их вообще не существовало, и многие примеры школьных проектов увековечивают изоляцию. Такое переосмысление, обеспечиваемое </w:t>
      </w:r>
      <w:r>
        <w:rPr>
          <w:rStyle w:val="q4iawc"/>
          <w:rFonts w:ascii="Times New Roman" w:hAnsi="Times New Roman" w:cs="Times New Roman"/>
          <w:sz w:val="24"/>
          <w:szCs w:val="24"/>
        </w:rPr>
        <w:t>ИСО</w:t>
      </w:r>
      <w:r w:rsidR="003975FA" w:rsidRPr="000347BE">
        <w:rPr>
          <w:rStyle w:val="q4iawc"/>
          <w:rFonts w:ascii="Times New Roman" w:hAnsi="Times New Roman" w:cs="Times New Roman"/>
          <w:sz w:val="24"/>
          <w:szCs w:val="24"/>
        </w:rPr>
        <w:t>, потенциально может способствовать полной интеграции всех учащихся.</w:t>
      </w:r>
    </w:p>
    <w:p w:rsidR="003975FA" w:rsidRDefault="003975FA" w:rsidP="00E70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11E" w:rsidRDefault="0052311E" w:rsidP="00E70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D17872" w:rsidRPr="00D17872" w:rsidRDefault="00D17872" w:rsidP="00D6726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872" w:rsidRPr="00D17872" w:rsidRDefault="00D17872" w:rsidP="00E704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rynqvb"/>
        </w:rPr>
      </w:pPr>
      <w:proofErr w:type="spellStart"/>
      <w:r w:rsidRPr="00D17872">
        <w:t>Ахметшина</w:t>
      </w:r>
      <w:proofErr w:type="spellEnd"/>
      <w:r w:rsidRPr="00D17872">
        <w:t xml:space="preserve"> Л.В. Инклюзивное образование: проблемы и пути их решения // КПЖ. 2020. №4 (141). URL: https://cyberleninka.ru/article/n/inklyuzivnoe-obrazovanie-problemy-i-puti-ih-resheniya (дата обращения: 13.10.2022).</w:t>
      </w:r>
    </w:p>
    <w:p w:rsidR="00D17872" w:rsidRPr="00D17872" w:rsidRDefault="00D17872" w:rsidP="00D1787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rynqvb"/>
        </w:rPr>
      </w:pPr>
      <w:r w:rsidRPr="00D17872">
        <w:rPr>
          <w:rStyle w:val="rynqvb"/>
        </w:rPr>
        <w:t xml:space="preserve">Андерсон Д, Бойл </w:t>
      </w:r>
      <w:r>
        <w:rPr>
          <w:rStyle w:val="rynqvb"/>
        </w:rPr>
        <w:t xml:space="preserve">К., </w:t>
      </w:r>
      <w:proofErr w:type="spellStart"/>
      <w:r w:rsidRPr="00D17872">
        <w:rPr>
          <w:rStyle w:val="rynqvb"/>
        </w:rPr>
        <w:t>Деппелер</w:t>
      </w:r>
      <w:proofErr w:type="spellEnd"/>
      <w:r>
        <w:rPr>
          <w:rStyle w:val="rynqvb"/>
        </w:rPr>
        <w:t xml:space="preserve"> Д.</w:t>
      </w:r>
      <w:r w:rsidRPr="00D17872">
        <w:rPr>
          <w:rStyle w:val="hwtze"/>
        </w:rPr>
        <w:t xml:space="preserve"> </w:t>
      </w:r>
      <w:r w:rsidRPr="00D17872">
        <w:rPr>
          <w:rStyle w:val="rynqvb"/>
        </w:rPr>
        <w:t xml:space="preserve">Экология инклюзивного образования: </w:t>
      </w:r>
      <w:r w:rsidR="00E704DC">
        <w:rPr>
          <w:rStyle w:val="rynqvb"/>
        </w:rPr>
        <w:t xml:space="preserve">переосмысление </w:t>
      </w:r>
      <w:proofErr w:type="spellStart"/>
      <w:r w:rsidR="00E704DC">
        <w:rPr>
          <w:rStyle w:val="rynqvb"/>
        </w:rPr>
        <w:t>Бронфенбреннера</w:t>
      </w:r>
      <w:proofErr w:type="spellEnd"/>
      <w:r w:rsidR="00E704DC">
        <w:rPr>
          <w:rStyle w:val="rynqvb"/>
        </w:rPr>
        <w:t xml:space="preserve"> //</w:t>
      </w:r>
      <w:r w:rsidRPr="00D17872">
        <w:rPr>
          <w:rStyle w:val="rynqvb"/>
        </w:rPr>
        <w:t xml:space="preserve"> </w:t>
      </w:r>
      <w:r w:rsidR="00E704DC">
        <w:rPr>
          <w:rStyle w:val="rynqvb"/>
        </w:rPr>
        <w:t>Равенство в образовании. 2018. №5. с. -</w:t>
      </w:r>
      <w:r w:rsidRPr="00D17872">
        <w:rPr>
          <w:rStyle w:val="rynqvb"/>
        </w:rPr>
        <w:t xml:space="preserve"> 23–34</w:t>
      </w:r>
      <w:r w:rsidR="00E704DC">
        <w:rPr>
          <w:rStyle w:val="rynqvb"/>
        </w:rPr>
        <w:t>.</w:t>
      </w:r>
    </w:p>
    <w:p w:rsidR="00D17872" w:rsidRPr="00D17872" w:rsidRDefault="00E704DC" w:rsidP="00D1787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>
        <w:rPr>
          <w:rStyle w:val="rynqvb"/>
        </w:rPr>
        <w:t>Барретт</w:t>
      </w:r>
      <w:proofErr w:type="spellEnd"/>
      <w:r w:rsidR="00D17872" w:rsidRPr="00D17872">
        <w:rPr>
          <w:rStyle w:val="rynqvb"/>
        </w:rPr>
        <w:t xml:space="preserve"> П</w:t>
      </w:r>
      <w:r>
        <w:rPr>
          <w:rStyle w:val="rynqvb"/>
        </w:rPr>
        <w:t>.</w:t>
      </w:r>
      <w:r w:rsidR="00D17872" w:rsidRPr="00D17872">
        <w:rPr>
          <w:rStyle w:val="rynqvb"/>
        </w:rPr>
        <w:t>, Тревес</w:t>
      </w:r>
      <w:r>
        <w:rPr>
          <w:rStyle w:val="rynqvb"/>
        </w:rPr>
        <w:t xml:space="preserve"> А.</w:t>
      </w:r>
      <w:r w:rsidR="00D17872" w:rsidRPr="00D17872">
        <w:rPr>
          <w:rStyle w:val="rynqvb"/>
        </w:rPr>
        <w:t xml:space="preserve">, </w:t>
      </w:r>
      <w:proofErr w:type="spellStart"/>
      <w:r w:rsidR="00D17872" w:rsidRPr="00D17872">
        <w:rPr>
          <w:rStyle w:val="rynqvb"/>
        </w:rPr>
        <w:t>Шмис</w:t>
      </w:r>
      <w:proofErr w:type="spellEnd"/>
      <w:r>
        <w:rPr>
          <w:rStyle w:val="rynqvb"/>
        </w:rPr>
        <w:t xml:space="preserve"> Т.</w:t>
      </w:r>
      <w:r w:rsidR="00D17872" w:rsidRPr="00D17872">
        <w:rPr>
          <w:rStyle w:val="rynqvb"/>
        </w:rPr>
        <w:t xml:space="preserve">, </w:t>
      </w:r>
      <w:proofErr w:type="spellStart"/>
      <w:r w:rsidR="00D17872" w:rsidRPr="00D17872">
        <w:rPr>
          <w:rStyle w:val="rynqvb"/>
        </w:rPr>
        <w:t>Амбаш</w:t>
      </w:r>
      <w:proofErr w:type="spellEnd"/>
      <w:r w:rsidR="00D17872" w:rsidRPr="00D17872">
        <w:rPr>
          <w:rStyle w:val="rynqvb"/>
        </w:rPr>
        <w:t xml:space="preserve"> </w:t>
      </w:r>
      <w:r>
        <w:rPr>
          <w:rStyle w:val="rynqvb"/>
        </w:rPr>
        <w:t xml:space="preserve">Д., </w:t>
      </w:r>
      <w:r w:rsidR="00D17872" w:rsidRPr="00D17872">
        <w:rPr>
          <w:rStyle w:val="rynqvb"/>
        </w:rPr>
        <w:t>Устинова</w:t>
      </w:r>
      <w:r>
        <w:rPr>
          <w:rStyle w:val="rynqvb"/>
        </w:rPr>
        <w:t xml:space="preserve"> М</w:t>
      </w:r>
      <w:r w:rsidR="00D17872" w:rsidRPr="00D17872">
        <w:rPr>
          <w:rStyle w:val="rynqvb"/>
        </w:rPr>
        <w:t>.</w:t>
      </w:r>
      <w:r w:rsidR="00D17872" w:rsidRPr="00D17872">
        <w:rPr>
          <w:rStyle w:val="hwtze"/>
        </w:rPr>
        <w:t xml:space="preserve"> </w:t>
      </w:r>
      <w:r w:rsidR="00D17872" w:rsidRPr="00D17872">
        <w:rPr>
          <w:rStyle w:val="rynqvb"/>
        </w:rPr>
        <w:t>Влияние школьной инфраструктуры на обучение: обобщение доказательств</w:t>
      </w:r>
      <w:r>
        <w:rPr>
          <w:rStyle w:val="rynqvb"/>
        </w:rPr>
        <w:t xml:space="preserve"> // </w:t>
      </w:r>
      <w:r w:rsidR="00D17872" w:rsidRPr="00D17872">
        <w:rPr>
          <w:rStyle w:val="rynqvb"/>
        </w:rPr>
        <w:t>Вашингтон: Всемирный банк</w:t>
      </w:r>
      <w:r>
        <w:rPr>
          <w:rStyle w:val="rynqvb"/>
        </w:rPr>
        <w:t>. 2019. №3. с. - 6.</w:t>
      </w:r>
    </w:p>
    <w:p w:rsidR="00D17872" w:rsidRPr="00D17872" w:rsidRDefault="00D17872" w:rsidP="00D1787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D17872">
        <w:t xml:space="preserve">Ванюкова </w:t>
      </w:r>
      <w:r w:rsidR="00E704DC">
        <w:t>Н.С.</w:t>
      </w:r>
      <w:r w:rsidRPr="00D17872">
        <w:t xml:space="preserve">, Московенко </w:t>
      </w:r>
      <w:r w:rsidR="00E704DC">
        <w:t xml:space="preserve">Н.В. </w:t>
      </w:r>
      <w:r w:rsidRPr="00D17872">
        <w:t>Инклюзивное образование в условиях профессиональной образовательной организации // Инновационное развитие профессионального образования. 2018. №4 (20). URL: https://cyberleninka.ru/article/n/inklyuzivnoe-obrazovanie-v-usloviyah-professionalnoy-obrazovatelnoy-organizatsii (дата обращения: 13.10.2022).</w:t>
      </w:r>
    </w:p>
    <w:p w:rsidR="00F54C4E" w:rsidRPr="00E704DC" w:rsidRDefault="00E704DC" w:rsidP="00D1787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Пейдж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>Мавропулу</w:t>
      </w:r>
      <w:proofErr w:type="spellEnd"/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С., 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>Харрингтон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И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D17872" w:rsidRPr="00D1787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>2020. «Культурно-чувствительное инклюзивное образовани</w:t>
      </w:r>
      <w:r>
        <w:rPr>
          <w:rStyle w:val="rynqvb"/>
          <w:rFonts w:ascii="Times New Roman" w:hAnsi="Times New Roman" w:cs="Times New Roman"/>
          <w:sz w:val="24"/>
          <w:szCs w:val="24"/>
        </w:rPr>
        <w:t>е: ценность местного контекста» //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 xml:space="preserve"> Международный журнал по инвалидности, развитию и образованию</w:t>
      </w:r>
      <w:r>
        <w:rPr>
          <w:rStyle w:val="rynqvb"/>
          <w:rFonts w:ascii="Times New Roman" w:hAnsi="Times New Roman" w:cs="Times New Roman"/>
          <w:sz w:val="24"/>
          <w:szCs w:val="24"/>
        </w:rPr>
        <w:t>. 2020.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>№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>67 (3).</w:t>
      </w:r>
      <w:r w:rsidR="00D17872" w:rsidRPr="00D1787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wtze"/>
          <w:rFonts w:ascii="Times New Roman" w:hAnsi="Times New Roman" w:cs="Times New Roman"/>
          <w:sz w:val="24"/>
          <w:szCs w:val="24"/>
        </w:rPr>
        <w:t xml:space="preserve">с. - </w:t>
      </w:r>
      <w:r w:rsidR="00D17872" w:rsidRPr="00D17872">
        <w:rPr>
          <w:rStyle w:val="rynqvb"/>
          <w:rFonts w:ascii="Times New Roman" w:hAnsi="Times New Roman" w:cs="Times New Roman"/>
          <w:sz w:val="24"/>
          <w:szCs w:val="24"/>
        </w:rPr>
        <w:t>1–14</w:t>
      </w:r>
      <w:r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sectPr w:rsidR="00F54C4E" w:rsidRPr="00E704DC" w:rsidSect="00C5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6D23"/>
    <w:multiLevelType w:val="hybridMultilevel"/>
    <w:tmpl w:val="71E8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FFD"/>
    <w:rsid w:val="000152F9"/>
    <w:rsid w:val="000347BE"/>
    <w:rsid w:val="000F129D"/>
    <w:rsid w:val="0035704C"/>
    <w:rsid w:val="003975FA"/>
    <w:rsid w:val="004B2FFD"/>
    <w:rsid w:val="0052311E"/>
    <w:rsid w:val="005776EE"/>
    <w:rsid w:val="005B6242"/>
    <w:rsid w:val="006155EB"/>
    <w:rsid w:val="0063060E"/>
    <w:rsid w:val="008A4E91"/>
    <w:rsid w:val="00915DBA"/>
    <w:rsid w:val="00982BD2"/>
    <w:rsid w:val="00AA6AD7"/>
    <w:rsid w:val="00B32247"/>
    <w:rsid w:val="00C5398A"/>
    <w:rsid w:val="00D17872"/>
    <w:rsid w:val="00D67261"/>
    <w:rsid w:val="00DF4791"/>
    <w:rsid w:val="00E704DC"/>
    <w:rsid w:val="00F54C4E"/>
    <w:rsid w:val="00F85FDC"/>
    <w:rsid w:val="00F97164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F8510EB-F67C-41C5-BF49-477DCB95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4B2FFD"/>
  </w:style>
  <w:style w:type="character" w:customStyle="1" w:styleId="viiyi">
    <w:name w:val="viiyi"/>
    <w:basedOn w:val="a0"/>
    <w:rsid w:val="00F97164"/>
  </w:style>
  <w:style w:type="character" w:customStyle="1" w:styleId="hwtze">
    <w:name w:val="hwtze"/>
    <w:basedOn w:val="a0"/>
    <w:rsid w:val="00D17872"/>
  </w:style>
  <w:style w:type="character" w:customStyle="1" w:styleId="rynqvb">
    <w:name w:val="rynqvb"/>
    <w:basedOn w:val="a0"/>
    <w:rsid w:val="00D17872"/>
  </w:style>
  <w:style w:type="paragraph" w:styleId="a3">
    <w:name w:val="Normal (Web)"/>
    <w:basedOn w:val="a"/>
    <w:uiPriority w:val="99"/>
    <w:semiHidden/>
    <w:unhideWhenUsed/>
    <w:rsid w:val="00D1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872"/>
    <w:pPr>
      <w:ind w:left="720"/>
      <w:contextualSpacing/>
    </w:pPr>
  </w:style>
  <w:style w:type="character" w:styleId="a5">
    <w:name w:val="Strong"/>
    <w:basedOn w:val="a0"/>
    <w:uiPriority w:val="22"/>
    <w:qFormat/>
    <w:rsid w:val="0035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Нагорная М. В.</cp:lastModifiedBy>
  <cp:revision>11</cp:revision>
  <dcterms:created xsi:type="dcterms:W3CDTF">2022-10-12T16:36:00Z</dcterms:created>
  <dcterms:modified xsi:type="dcterms:W3CDTF">2022-10-28T03:47:00Z</dcterms:modified>
</cp:coreProperties>
</file>