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дошкольное образовательное учреждение </w:t>
      </w:r>
    </w:p>
    <w:p w14:paraId="03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«Детский сад комбинированного вида №8»</w:t>
      </w:r>
    </w:p>
    <w:p w14:paraId="04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line="36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МЕТОДИЧЕСКИЕ РЕКОМЕНДАЦИИ К ИГРОВОМУ ПОСОБИЮ</w:t>
      </w:r>
    </w:p>
    <w:p w14:paraId="0A000000">
      <w:pPr>
        <w:spacing w:line="36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«Математическая шкатулка»</w:t>
      </w:r>
    </w:p>
    <w:p w14:paraId="0B000000">
      <w:pPr>
        <w:spacing w:line="360" w:lineRule="auto"/>
        <w:ind/>
        <w:jc w:val="center"/>
        <w:rPr>
          <w:rFonts w:ascii="Times New Roman" w:hAnsi="Times New Roman"/>
          <w:sz w:val="32"/>
        </w:rPr>
      </w:pPr>
      <w:r>
        <w:drawing>
          <wp:inline>
            <wp:extent cx="4168140" cy="384048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4168140" cy="38404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spacing w:line="360" w:lineRule="auto"/>
        <w:ind/>
        <w:jc w:val="center"/>
        <w:rPr>
          <w:rFonts w:ascii="Times New Roman" w:hAnsi="Times New Roman"/>
          <w:sz w:val="32"/>
        </w:rPr>
      </w:pPr>
    </w:p>
    <w:p w14:paraId="0D000000">
      <w:pPr>
        <w:spacing w:line="360" w:lineRule="auto"/>
        <w:ind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Автор: воспитатель Бежецкая А.А.</w:t>
      </w:r>
    </w:p>
    <w:p w14:paraId="0E000000">
      <w:pPr>
        <w:spacing w:line="360" w:lineRule="auto"/>
        <w:ind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первая квалификационная категория</w:t>
      </w:r>
    </w:p>
    <w:p w14:paraId="0F000000">
      <w:pPr>
        <w:spacing w:line="360" w:lineRule="auto"/>
        <w:ind/>
        <w:jc w:val="right"/>
        <w:rPr>
          <w:rFonts w:ascii="Times New Roman" w:hAnsi="Times New Roman"/>
          <w:sz w:val="32"/>
        </w:rPr>
      </w:pPr>
    </w:p>
    <w:p w14:paraId="10000000">
      <w:pPr>
        <w:spacing w:line="360" w:lineRule="auto"/>
        <w:ind/>
        <w:jc w:val="right"/>
        <w:rPr>
          <w:rFonts w:ascii="Times New Roman" w:hAnsi="Times New Roman"/>
          <w:sz w:val="32"/>
        </w:rPr>
      </w:pPr>
    </w:p>
    <w:p w14:paraId="11000000">
      <w:pPr>
        <w:spacing w:line="360" w:lineRule="auto"/>
        <w:ind/>
        <w:jc w:val="right"/>
        <w:rPr>
          <w:rFonts w:ascii="Times New Roman" w:hAnsi="Times New Roman"/>
          <w:sz w:val="32"/>
        </w:rPr>
      </w:pPr>
    </w:p>
    <w:p w14:paraId="12000000">
      <w:pPr>
        <w:spacing w:line="360" w:lineRule="auto"/>
        <w:ind/>
        <w:jc w:val="right"/>
        <w:rPr>
          <w:rFonts w:ascii="Times New Roman" w:hAnsi="Times New Roman"/>
          <w:sz w:val="32"/>
        </w:rPr>
      </w:pPr>
    </w:p>
    <w:p w14:paraId="13000000">
      <w:pPr>
        <w:ind/>
        <w:jc w:val="center"/>
      </w:pPr>
      <w:r>
        <w:rPr>
          <w:rFonts w:ascii="Times New Roman" w:hAnsi="Times New Roman"/>
          <w:sz w:val="32"/>
        </w:rPr>
        <w:t>г. Иваново, 2023</w:t>
      </w:r>
    </w:p>
    <w:p w14:paraId="14000000">
      <w:pPr>
        <w:spacing w:line="276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Пояснительная записка</w:t>
      </w:r>
    </w:p>
    <w:p w14:paraId="15000000">
      <w:pPr>
        <w:spacing w:line="276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По словам В.А. Сухомлинского: «Без игры нет, и не может быть полноценного умственного развития. Игра это огромное светлое окно, через которое в духовный мир ребенка вливается живительный поток представлений, понятий. Игра это искра, зажигающая огонек пытливости и любознательности». </w:t>
      </w:r>
    </w:p>
    <w:p w14:paraId="16000000">
      <w:pPr>
        <w:spacing w:line="276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Для детей дошкольного возраста игра имеет исключительное значение: игра для них – учеба, игра для них – труд,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 В этом, между прочим, одно из основных противоречий игры как средства воспитания: с одной стороны - отсутствие цели в игре, а с другой - игра есть средство целенаправленного формирования личности. В наибольшей степени это проявляется в так называемых дидактических играх. </w:t>
      </w:r>
    </w:p>
    <w:p w14:paraId="17000000">
      <w:pPr>
        <w:spacing w:line="276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 </w:t>
      </w:r>
    </w:p>
    <w:p w14:paraId="18000000">
      <w:pPr>
        <w:spacing w:line="276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Методическое пособие могут использовать педагоги на занятиях с детьми дошкольного возраста (4-7 лет) по формированию элементарных математических представлении. </w:t>
      </w:r>
    </w:p>
    <w:p w14:paraId="19000000">
      <w:pPr>
        <w:spacing w:line="276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Играя и выполняя упражнения, дети постепенно: </w:t>
      </w:r>
    </w:p>
    <w:p w14:paraId="1A000000">
      <w:pPr>
        <w:numPr>
          <w:numId w:val="1"/>
        </w:numPr>
        <w:spacing w:line="276" w:lineRule="auto"/>
        <w:ind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овладевают умением выделять образы цифр; </w:t>
      </w:r>
    </w:p>
    <w:p w14:paraId="1B000000">
      <w:pPr>
        <w:numPr>
          <w:numId w:val="1"/>
        </w:numPr>
        <w:spacing w:line="276" w:lineRule="auto"/>
        <w:ind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закрепляют навыки последовательного счета; </w:t>
      </w:r>
    </w:p>
    <w:p w14:paraId="1C000000">
      <w:pPr>
        <w:numPr>
          <w:numId w:val="1"/>
        </w:numPr>
        <w:spacing w:line="276" w:lineRule="auto"/>
        <w:ind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учатся соотносить количество пальцев или предметов с определенной цифрой; </w:t>
      </w:r>
    </w:p>
    <w:p w14:paraId="1D000000">
      <w:pPr>
        <w:numPr>
          <w:numId w:val="1"/>
        </w:numPr>
        <w:spacing w:line="276" w:lineRule="auto"/>
        <w:ind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развивают зрительную память и ручную моторику, внимание и мышление; </w:t>
      </w:r>
    </w:p>
    <w:p w14:paraId="1E000000">
      <w:pPr>
        <w:numPr>
          <w:numId w:val="1"/>
        </w:numPr>
        <w:spacing w:line="276" w:lineRule="auto"/>
        <w:ind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овладевают различными речевыми умениями и навыками. </w:t>
      </w:r>
    </w:p>
    <w:p w14:paraId="1F000000">
      <w:pPr>
        <w:spacing w:line="276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Пособие рассчитано на совместную работу взрослого и ребенка. Участие и помощь взрослого должны быть искренними, направленными на получение общего результата.</w:t>
      </w:r>
    </w:p>
    <w:p w14:paraId="20000000">
      <w:pPr>
        <w:spacing w:line="276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Необходимо отметить, что регулярное использование на занятиях по математике дидактических игр, направленных на развитие познавательных возможностей и способностей, расширяет математический кругозор дошкольников, способствует математическому развитию, повышает качество математической подготовленности к школе,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 </w:t>
      </w:r>
    </w:p>
    <w:p w14:paraId="21000000">
      <w:pPr>
        <w:spacing w:line="276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Каждая из игр по формированию элементарных математических представлений решает конкретную задачу совершенствования математических (количественных, пространственных, временных) представлений детей. Дидактические игры включаются непосредственно в содержание занятий по ФЭМП как одно из средств реализации программных задач, а также для индивидуальной работы по закреплению знаний детей во второй половине дня.</w:t>
      </w:r>
    </w:p>
    <w:p w14:paraId="22000000">
      <w:pPr>
        <w:spacing w:line="276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Дидактические игры в структуре занятия по ФЭМП определяются возрастом детей, целью, назначением, содержанием занятия.</w:t>
      </w:r>
    </w:p>
    <w:p w14:paraId="23000000">
      <w:pPr>
        <w:spacing w:line="276" w:lineRule="auto"/>
        <w:ind w:firstLine="709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Актуальность</w:t>
      </w:r>
    </w:p>
    <w:p w14:paraId="24000000">
      <w:pPr>
        <w:spacing w:line="276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Математическое развитие 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знаками, символами. </w:t>
      </w:r>
    </w:p>
    <w:p w14:paraId="25000000">
      <w:pPr>
        <w:spacing w:line="276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Дидактическая игра одна из форм развития логического мышления. В процессе игры разнообразные умственные процессы активизируются и принимают произвольный характер. Применение дидактических игр повышает эффективность педагогического процесса, кроме того, они способны к развитию памяти, мышления, внимания, воображения у детей, оказывая огромное влияние на умственное развитие ребенка дошкольного возраста. </w:t>
      </w:r>
    </w:p>
    <w:p w14:paraId="26000000">
      <w:pPr>
        <w:spacing w:line="276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1"/>
          <w:i w:val="1"/>
        </w:rPr>
        <w:t>Цель</w:t>
      </w:r>
      <w:r>
        <w:rPr>
          <w:rFonts w:ascii="Times New Roman" w:hAnsi="Times New Roman"/>
        </w:rPr>
        <w:t xml:space="preserve"> пособия: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подбор и систематизация игровых упражнений и заданий, направленных на формирование элементарных математических представлений у детей дошкольного возраста (4-7 лет). </w:t>
      </w:r>
    </w:p>
    <w:p w14:paraId="27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Задачи:</w:t>
      </w:r>
    </w:p>
    <w:p w14:paraId="28000000">
      <w:pPr>
        <w:numPr>
          <w:numId w:val="2"/>
        </w:numPr>
        <w:spacing w:line="276" w:lineRule="auto"/>
        <w:ind/>
        <w:jc w:val="both"/>
        <w:rPr>
          <w:rFonts w:ascii="Times New Roman" w:hAnsi="Times New Roman"/>
          <w:b w:val="1"/>
          <w:i w:val="1"/>
          <w:color w:val="000000"/>
        </w:rPr>
      </w:pPr>
      <w:r>
        <w:rPr>
          <w:rFonts w:ascii="Times New Roman" w:hAnsi="Times New Roman"/>
          <w:color w:val="000000"/>
        </w:rPr>
        <w:t xml:space="preserve">развитие у детей логико-математических представлений (представлений о математических свойствах и отношениях предметов, конкретных величинах, числах, геометрических фигурах, зависимостях и закономерностях); </w:t>
      </w:r>
    </w:p>
    <w:p w14:paraId="29000000">
      <w:pPr>
        <w:numPr>
          <w:numId w:val="2"/>
        </w:numPr>
        <w:spacing w:line="276" w:lineRule="auto"/>
        <w:ind/>
        <w:jc w:val="both"/>
        <w:rPr>
          <w:rFonts w:ascii="Times New Roman" w:hAnsi="Times New Roman"/>
          <w:b w:val="1"/>
          <w:i w:val="1"/>
          <w:color w:val="000000"/>
        </w:rPr>
      </w:pPr>
      <w:r>
        <w:rPr>
          <w:rFonts w:ascii="Times New Roman" w:hAnsi="Times New Roman"/>
          <w:color w:val="000000"/>
        </w:rPr>
        <w:t xml:space="preserve">овладение детьми математическими способами познания действительности: счет, измерение, простейшие вычисления; </w:t>
      </w:r>
    </w:p>
    <w:p w14:paraId="2A000000">
      <w:pPr>
        <w:numPr>
          <w:numId w:val="2"/>
        </w:numPr>
        <w:spacing w:line="276" w:lineRule="auto"/>
        <w:ind/>
        <w:jc w:val="both"/>
        <w:rPr>
          <w:rFonts w:ascii="Times New Roman" w:hAnsi="Times New Roman"/>
          <w:b w:val="1"/>
          <w:i w:val="1"/>
          <w:color w:val="000000"/>
        </w:rPr>
      </w:pPr>
      <w:r>
        <w:rPr>
          <w:rFonts w:ascii="Times New Roman" w:hAnsi="Times New Roman"/>
          <w:color w:val="000000"/>
        </w:rPr>
        <w:t xml:space="preserve">развитие интеллектуально-творческих проявлений детей: находчивости, смекалки, догадки, сообразительности, стремления к поиску нестандартных решений задач; </w:t>
      </w:r>
    </w:p>
    <w:p w14:paraId="2B000000">
      <w:pPr>
        <w:numPr>
          <w:numId w:val="2"/>
        </w:numPr>
        <w:spacing w:line="276" w:lineRule="auto"/>
        <w:ind/>
        <w:jc w:val="both"/>
        <w:rPr>
          <w:rFonts w:ascii="Times New Roman" w:hAnsi="Times New Roman"/>
          <w:b w:val="1"/>
          <w:i w:val="1"/>
          <w:color w:val="000000"/>
        </w:rPr>
      </w:pPr>
      <w:r>
        <w:rPr>
          <w:rFonts w:ascii="Times New Roman" w:hAnsi="Times New Roman"/>
          <w:color w:val="000000"/>
        </w:rPr>
        <w:t>воспитание готовности к обучению в школе: развитие самостоятельности, ответственности, настойчивости в преодолении трудностей, координации движений глаз и мелкой моторики рук, умений самоконтроля и самооценки.</w:t>
      </w:r>
    </w:p>
    <w:p w14:paraId="2C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  <w:r>
        <w:rPr>
          <w:rFonts w:ascii="Times New Roman" w:hAnsi="Times New Roman"/>
          <w:b w:val="1"/>
          <w:i w:val="1"/>
          <w:color w:val="000000"/>
        </w:rPr>
        <w:t>Данный сборник подразумевает постоянное развитие и пополнение различными вариантами игр и заданий на формирование элементарных математических представлений у дошкольников.</w:t>
      </w:r>
    </w:p>
    <w:p w14:paraId="2D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2E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2F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0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1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2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3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4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5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6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7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8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9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A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B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C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D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E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3F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40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41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42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43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44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45000000">
      <w:pPr>
        <w:spacing w:line="276" w:lineRule="auto"/>
        <w:ind w:firstLine="709"/>
        <w:jc w:val="both"/>
        <w:rPr>
          <w:rFonts w:ascii="Times New Roman" w:hAnsi="Times New Roman"/>
          <w:b w:val="1"/>
          <w:i w:val="1"/>
          <w:color w:val="000000"/>
        </w:rPr>
      </w:pPr>
    </w:p>
    <w:p w14:paraId="46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  <w:r>
        <w:rPr>
          <w:rFonts w:ascii="Times New Roman" w:hAnsi="Times New Roman"/>
          <w:b w:val="1"/>
          <w:i w:val="0"/>
          <w:color w:val="000000"/>
        </w:rPr>
        <w:t>Игра «Числа – соседи»</w:t>
      </w:r>
    </w:p>
    <w:p w14:paraId="47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  <w: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3267456</wp:posOffset>
            </wp:positionH>
            <wp:positionV relativeFrom="page">
              <wp:posOffset>1280162</wp:posOffset>
            </wp:positionV>
            <wp:extent cx="3376802" cy="2246401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3376802" cy="2246401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265175</wp:posOffset>
            </wp:positionH>
            <wp:positionV relativeFrom="page">
              <wp:posOffset>800102</wp:posOffset>
            </wp:positionV>
            <wp:extent cx="2728801" cy="3438002"/>
            <wp:wrapNone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2728801" cy="3438002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48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49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4A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4B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4C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4D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4E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4F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50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51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52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53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54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55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56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57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58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59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5A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 xml:space="preserve">Игра представляет собой тематически оформленную коробку, которая наполнена карточками с заданиями. В состав игры входит  10 карточек с заданиями. На карточках изображены курицы, каждой из них присвоен номер от 1 до 10. Справа и слева – контур яйца, с липучкой. В дополнительной коробочке собраны яйца на липучках, на каждом из них изображена цифра. </w:t>
      </w:r>
    </w:p>
    <w:p w14:paraId="5B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1"/>
          <w:i w:val="1"/>
          <w:color w:val="000000"/>
        </w:rPr>
        <w:t>Цель:</w:t>
      </w:r>
      <w:r>
        <w:rPr>
          <w:rFonts w:ascii="Times New Roman" w:hAnsi="Times New Roman"/>
          <w:b w:val="0"/>
          <w:i w:val="0"/>
          <w:color w:val="000000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</w:rPr>
        <w:t>формирование представления об отношениях чисел, рядом стоящих в числовом ряду.</w:t>
      </w:r>
    </w:p>
    <w:p w14:paraId="5C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1"/>
          <w:color w:val="000000"/>
        </w:rPr>
      </w:pPr>
      <w:r>
        <w:rPr>
          <w:rFonts w:ascii="Times New Roman" w:hAnsi="Times New Roman"/>
          <w:b w:val="1"/>
          <w:i w:val="1"/>
          <w:color w:val="000000"/>
        </w:rPr>
        <w:t>Задачи:</w:t>
      </w:r>
    </w:p>
    <w:p w14:paraId="5D000000">
      <w:pPr>
        <w:numPr>
          <w:numId w:val="3"/>
        </w:numPr>
        <w:spacing w:after="0" w:before="0" w:line="276" w:lineRule="auto"/>
        <w:ind w:firstLine="36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</w:rPr>
        <w:t>Продолжать знакомить детей с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</w:rPr>
        <w:t>«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</w:rPr>
        <w:t>соседями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</w:rPr>
        <w:t>»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</w:rPr>
        <w:t> числа в числовом ряду.</w:t>
      </w:r>
    </w:p>
    <w:p w14:paraId="5E000000">
      <w:pPr>
        <w:numPr>
          <w:numId w:val="3"/>
        </w:numPr>
        <w:spacing w:after="0" w:before="0" w:line="276" w:lineRule="auto"/>
        <w:ind w:firstLine="36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</w:rPr>
        <w:t>Совершенствовать навыки ориентировки в пространстве.</w:t>
      </w:r>
    </w:p>
    <w:p w14:paraId="5F000000">
      <w:pPr>
        <w:numPr>
          <w:numId w:val="3"/>
        </w:numPr>
        <w:spacing w:after="0" w:before="0" w:line="276" w:lineRule="auto"/>
        <w:ind w:firstLine="36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</w:rPr>
        <w:t>Развивать внимание, зрительную память, логическое мышление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, речь.</w:t>
      </w:r>
    </w:p>
    <w:p w14:paraId="60000000">
      <w:pPr>
        <w:numPr>
          <w:numId w:val="3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</w:rPr>
        <w:t>Формировать умение узнавать и называть числа. Правильно заполнять пропуски в числовом ряду.</w:t>
      </w:r>
    </w:p>
    <w:p w14:paraId="61000000">
      <w:pPr>
        <w:numPr>
          <w:numId w:val="3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</w:rPr>
        <w:t xml:space="preserve">Учить восстанавливать ряд чисел в прямом и обратном порядке. </w:t>
      </w:r>
    </w:p>
    <w:p w14:paraId="62000000">
      <w:pPr>
        <w:numPr>
          <w:numId w:val="3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</w:rPr>
        <w:t xml:space="preserve">Воспитывать коммуникативные качества, умение играть в паре. </w:t>
      </w:r>
    </w:p>
    <w:p w14:paraId="63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1"/>
          <w:i w:val="1"/>
          <w:color w:val="000000"/>
        </w:rPr>
        <w:t xml:space="preserve">Описание: </w:t>
      </w:r>
    </w:p>
    <w:p w14:paraId="64000000">
      <w:pPr>
        <w:numPr>
          <w:numId w:val="4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</w:rPr>
        <w:t>Разложите карточки с заданиями на столе.</w:t>
      </w:r>
    </w:p>
    <w:p w14:paraId="65000000">
      <w:pPr>
        <w:numPr>
          <w:numId w:val="4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</w:rPr>
        <w:t>Разложите вырезанные яйца с числами в произвольном порядке рядом с заданиями.</w:t>
      </w:r>
    </w:p>
    <w:p w14:paraId="66000000">
      <w:pPr>
        <w:numPr>
          <w:numId w:val="4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</w:rPr>
        <w:t xml:space="preserve">Попросите детей подобрать правильное яйца к каждой карточке с заданием, которое должно стоять перед курицей и после </w:t>
      </w:r>
      <w:r>
        <w:rPr>
          <w:rFonts w:ascii="Times New Roman" w:hAnsi="Times New Roman"/>
          <w:b w:val="0"/>
          <w:i w:val="0"/>
          <w:color w:val="000000"/>
        </w:rPr>
        <w:t>нее.</w:t>
      </w:r>
    </w:p>
    <w:p w14:paraId="67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Воспитатель может придумать дополнительные варианты игр:</w:t>
      </w:r>
    </w:p>
    <w:p w14:paraId="68000000">
      <w:pPr>
        <w:numPr>
          <w:numId w:val="5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сосчитать яйца;</w:t>
      </w:r>
    </w:p>
    <w:p w14:paraId="69000000">
      <w:pPr>
        <w:numPr>
          <w:numId w:val="5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распределить яйца в несколько кучек по заданным характеристикам, выполнить заданные действия: сравнить, сделать одинаковое количество, уменьшить, увеличить и т.д.;</w:t>
      </w:r>
    </w:p>
    <w:p w14:paraId="6A000000">
      <w:pPr>
        <w:numPr>
          <w:numId w:val="5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 xml:space="preserve">разложить яйца по порядку: убывание/возрастание. </w:t>
      </w:r>
    </w:p>
    <w:p w14:paraId="6B000000">
      <w:p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</w:p>
    <w:p w14:paraId="6C000000">
      <w:p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</w:p>
    <w:p w14:paraId="6D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  <w:r>
        <w:rPr>
          <w:rFonts w:ascii="Times New Roman" w:hAnsi="Times New Roman"/>
          <w:b w:val="1"/>
          <w:i w:val="1"/>
          <w:color w:val="000000"/>
        </w:rPr>
        <w:t>Игра «Больше, меньше, равно»</w:t>
      </w:r>
    </w:p>
    <w:p w14:paraId="6E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  <w: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1979676</wp:posOffset>
            </wp:positionH>
            <wp:positionV relativeFrom="page">
              <wp:posOffset>922022</wp:posOffset>
            </wp:positionV>
            <wp:extent cx="2728801" cy="3466802"/>
            <wp:wrapNone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2728801" cy="3466802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6F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0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1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2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3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4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5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6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7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8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9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A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B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C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D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E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7F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80000000">
      <w:pPr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</w:rPr>
      </w:pPr>
    </w:p>
    <w:p w14:paraId="81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 xml:space="preserve">Игра представляет собой тематически оформленную коробку, которая наполнена карточками с заданиями. В состав игры входит 24 карточки с заданиями. На карточках изображены по два пингвина, в животе у каждого рыбки, количество которых варьируется от 1 до 10. В середине квадрат с липучкой для размещения карточки с изображением знака. По периметру коробки на липучках прикреплены карточки со знаками: «больше», «меньше», «равно». </w:t>
      </w:r>
    </w:p>
    <w:p w14:paraId="82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1"/>
          <w:i w:val="1"/>
          <w:color w:val="000000"/>
        </w:rPr>
        <w:t>Цель:</w:t>
      </w:r>
      <w:r>
        <w:rPr>
          <w:rFonts w:ascii="Times New Roman" w:hAnsi="Times New Roman"/>
          <w:b w:val="0"/>
          <w:i w:val="0"/>
          <w:color w:val="000000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</w:rPr>
        <w:t>формирование представления о знаках «больше», «меньше», «равно»</w:t>
      </w:r>
      <w:r>
        <w:rPr>
          <w:rFonts w:ascii="Times New Roman" w:hAnsi="Times New Roman"/>
          <w:b w:val="0"/>
          <w:i w:val="0"/>
          <w:color w:val="000000"/>
        </w:rPr>
        <w:t>, тренировка в правильном использовании знаков при решении поставленной задачи.</w:t>
      </w:r>
    </w:p>
    <w:p w14:paraId="83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1"/>
          <w:i w:val="1"/>
          <w:color w:val="000000"/>
        </w:rPr>
        <w:t>Задачи:</w:t>
      </w:r>
    </w:p>
    <w:p w14:paraId="84000000">
      <w:pPr>
        <w:numPr>
          <w:numId w:val="6"/>
        </w:numPr>
        <w:spacing w:after="0" w:before="0" w:line="276" w:lineRule="auto"/>
        <w:ind w:firstLine="36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</w:rPr>
        <w:t xml:space="preserve">Продолжать знакомить детей со знаками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</w:rPr>
        <w:t>знаках «больше», «меньше», «равно».</w:t>
      </w:r>
    </w:p>
    <w:p w14:paraId="85000000">
      <w:pPr>
        <w:numPr>
          <w:numId w:val="6"/>
        </w:numPr>
        <w:spacing w:after="0" w:before="0" w:line="276" w:lineRule="auto"/>
        <w:ind w:firstLine="36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</w:rPr>
        <w:t>Совершенствовать навыки ориентировки в пространстве.</w:t>
      </w:r>
    </w:p>
    <w:p w14:paraId="86000000">
      <w:pPr>
        <w:numPr>
          <w:numId w:val="6"/>
        </w:numPr>
        <w:spacing w:after="0" w:before="0" w:line="276" w:lineRule="auto"/>
        <w:ind w:firstLine="36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</w:rPr>
        <w:t>Развивать внимание, зрительную память, логическое мышление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, речь.</w:t>
      </w:r>
    </w:p>
    <w:p w14:paraId="87000000">
      <w:pPr>
        <w:numPr>
          <w:numId w:val="6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</w:rPr>
        <w:t>Формировать умение считать предметы, правильно называя итог.</w:t>
      </w:r>
    </w:p>
    <w:p w14:paraId="88000000">
      <w:pPr>
        <w:numPr>
          <w:numId w:val="6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</w:rPr>
        <w:t xml:space="preserve">Учить </w:t>
      </w:r>
      <w:r>
        <w:rPr>
          <w:rFonts w:ascii="Times New Roman" w:hAnsi="Times New Roman"/>
          <w:b w:val="0"/>
          <w:i w:val="0"/>
          <w:color w:val="000000"/>
        </w:rPr>
        <w:t>сравнивать количество предметов и обозначать данное сравнение знаками.</w:t>
      </w:r>
    </w:p>
    <w:p w14:paraId="89000000">
      <w:pPr>
        <w:numPr>
          <w:numId w:val="6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</w:rPr>
        <w:t xml:space="preserve">Воспитывать коммуникативные качества, умение играть в паре. </w:t>
      </w:r>
    </w:p>
    <w:p w14:paraId="8A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1"/>
          <w:i w:val="1"/>
          <w:color w:val="000000"/>
        </w:rPr>
        <w:t xml:space="preserve">Описание: </w:t>
      </w:r>
    </w:p>
    <w:p w14:paraId="8B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i w:val="1"/>
        </w:rPr>
        <w:t>Правила игры:</w:t>
      </w:r>
      <w:r>
        <w:rPr>
          <w:rFonts w:ascii="Times New Roman" w:hAnsi="Times New Roman"/>
        </w:rPr>
        <w:t xml:space="preserve"> ребенок в индивидуальном порядке подбирает знаки «больше», «меньше» или «равно», посчитав количество картинок на карточке. </w:t>
      </w:r>
    </w:p>
    <w:p w14:paraId="8C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i w:val="1"/>
        </w:rPr>
        <w:t>Игровое действие:</w:t>
      </w:r>
      <w:r>
        <w:rPr>
          <w:rFonts w:ascii="Times New Roman" w:hAnsi="Times New Roman"/>
        </w:rPr>
        <w:t xml:space="preserve"> подбор знаков «больше», «меньше» или «равно». </w:t>
      </w:r>
    </w:p>
    <w:p w14:paraId="8D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i w:val="1"/>
        </w:rPr>
        <w:t xml:space="preserve">Усложнение: </w:t>
      </w:r>
      <w:r>
        <w:rPr>
          <w:rFonts w:ascii="Times New Roman" w:hAnsi="Times New Roman"/>
        </w:rPr>
        <w:t>соревнование между детьми на время.</w:t>
      </w:r>
    </w:p>
    <w:p w14:paraId="8E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</w:p>
    <w:p w14:paraId="8F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</w:p>
    <w:p w14:paraId="90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</w:p>
    <w:p w14:paraId="91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</w:p>
    <w:p w14:paraId="92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</w:p>
    <w:p w14:paraId="93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</w:p>
    <w:p w14:paraId="94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</w:p>
    <w:p w14:paraId="95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</w:p>
    <w:p w14:paraId="96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  <w:r>
        <w:rPr>
          <w:rFonts w:ascii="Times New Roman" w:hAnsi="Times New Roman"/>
          <w:b w:val="1"/>
          <w:i w:val="0"/>
          <w:color w:val="000000"/>
        </w:rPr>
        <w:t>Игра «Состав числа»</w:t>
      </w:r>
    </w:p>
    <w:p w14:paraId="97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  <w: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1690116</wp:posOffset>
            </wp:positionH>
            <wp:positionV relativeFrom="page">
              <wp:posOffset>830583</wp:posOffset>
            </wp:positionV>
            <wp:extent cx="3376802" cy="2584801"/>
            <wp:wrapNone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3376802" cy="2584801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98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99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9A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9B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9C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9D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9E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9F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A0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A1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A2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A3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A4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p w14:paraId="A5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Игра представляет собой конверт, который наполнен игровыми полями. В состав игры входит 10 игровых полей с заданиями . На карточках изображены дома с окнами для маленьких карточек, на крыше каждого дома указано число от 1 до 10, состав которого нужно определить.  Дополнительно идет конверт с набором маленьких карточек с числами от 1 до 10.</w:t>
      </w:r>
    </w:p>
    <w:p w14:paraId="A6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1"/>
          <w:i w:val="1"/>
          <w:color w:val="000000"/>
        </w:rPr>
        <w:t>Цель:</w:t>
      </w:r>
      <w:r>
        <w:rPr>
          <w:rFonts w:ascii="Times New Roman" w:hAnsi="Times New Roman"/>
          <w:b w:val="0"/>
          <w:i w:val="0"/>
          <w:color w:val="000000"/>
        </w:rPr>
        <w:t xml:space="preserve"> 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10101"/>
          <w:spacing w:val="0"/>
          <w:sz w:val="24"/>
          <w:highlight w:val="white"/>
        </w:rPr>
        <w:t>Совершенствование знаний о составе изученных чисел. Формирование умения представлять числа в виде суммы двух слагаемых (на основе наглядности).</w:t>
      </w:r>
    </w:p>
    <w:p w14:paraId="A7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1"/>
          <w:i w:val="1"/>
          <w:color w:val="000000"/>
        </w:rPr>
        <w:t>Задачи:</w:t>
      </w:r>
    </w:p>
    <w:p w14:paraId="A8000000">
      <w:pPr>
        <w:numPr>
          <w:numId w:val="7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aps w:val="0"/>
          <w:color w:val="010101"/>
          <w:spacing w:val="0"/>
          <w:sz w:val="24"/>
          <w:highlight w:val="white"/>
        </w:rPr>
        <w:t>развивать представления детей о составе числа;</w:t>
      </w:r>
    </w:p>
    <w:p w14:paraId="A9000000">
      <w:pPr>
        <w:numPr>
          <w:numId w:val="7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aps w:val="0"/>
          <w:color w:val="010101"/>
          <w:spacing w:val="0"/>
          <w:sz w:val="24"/>
          <w:highlight w:val="white"/>
        </w:rPr>
        <w:t>закреплять умение соотносить число с цифрой;</w:t>
      </w:r>
    </w:p>
    <w:p w14:paraId="AA000000">
      <w:pPr>
        <w:numPr>
          <w:numId w:val="7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aps w:val="0"/>
          <w:color w:val="010101"/>
          <w:spacing w:val="0"/>
          <w:sz w:val="24"/>
          <w:highlight w:val="white"/>
        </w:rPr>
        <w:t>упражнять детей в умении раскладывать число на два меньших и составлять из двух меньших большее;</w:t>
      </w:r>
    </w:p>
    <w:p w14:paraId="AB000000">
      <w:pPr>
        <w:numPr>
          <w:numId w:val="7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aps w:val="0"/>
          <w:color w:val="010101"/>
          <w:spacing w:val="0"/>
          <w:sz w:val="24"/>
          <w:highlight w:val="white"/>
        </w:rPr>
        <w:t>побуждать детей находить разные варианты при составлении числа из двух меньших;</w:t>
      </w:r>
    </w:p>
    <w:p w14:paraId="AC000000">
      <w:pPr>
        <w:numPr>
          <w:numId w:val="7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aps w:val="0"/>
          <w:color w:val="010101"/>
          <w:spacing w:val="0"/>
          <w:sz w:val="24"/>
          <w:highlight w:val="white"/>
        </w:rPr>
        <w:t>развивать память, зрительное восприятие, внимание, уметь делать логические умозаключения;</w:t>
      </w:r>
    </w:p>
    <w:p w14:paraId="AD000000">
      <w:pPr>
        <w:numPr>
          <w:numId w:val="7"/>
        </w:numPr>
        <w:spacing w:line="276" w:lineRule="auto"/>
        <w:ind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aps w:val="0"/>
          <w:color w:val="010101"/>
          <w:spacing w:val="0"/>
          <w:sz w:val="24"/>
          <w:highlight w:val="white"/>
        </w:rPr>
        <w:t>воспитывать интерес к играм математического содержания</w:t>
      </w:r>
      <w:r>
        <w:rPr>
          <w:rFonts w:ascii="Times New Roman" w:hAnsi="Times New Roman"/>
          <w:b w:val="0"/>
          <w:i w:val="0"/>
          <w:color w:val="000000"/>
        </w:rPr>
        <w:t>.</w:t>
      </w:r>
    </w:p>
    <w:p w14:paraId="AE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1"/>
          <w:i w:val="1"/>
          <w:color w:val="000000"/>
        </w:rPr>
        <w:t xml:space="preserve">Описание: </w:t>
      </w:r>
    </w:p>
    <w:p w14:paraId="AF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Игровая ситуация 1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</w:p>
    <w:p w14:paraId="B0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Ведущий кладет перед ребенком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карточ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ки - домики с числами в пределах 10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B1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Цифра на крыше обозначает количество жильцов на каждом этаже.</w:t>
      </w:r>
    </w:p>
    <w:p w14:paraId="B2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Ребенок должен подобрать и поставить цифру на второе окошко.</w:t>
      </w:r>
    </w:p>
    <w:p w14:paraId="B3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Игровая ситуация 2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</w:p>
    <w:p w14:paraId="B4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Ведущий кладет перед ребенком большую карточку с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домиком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 xml:space="preserve"> </w:t>
      </w:r>
    </w:p>
    <w:p w14:paraId="B5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В каждом из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домиков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живет определенная цифра. Ребенку предлагается подумать и сказать, из каких чисел она состоит. Пусть ребенок назовет все варианты. После этого он может показать все варианты состава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числа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B6000000">
      <w:pPr>
        <w:spacing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</w:p>
    <w:p w14:paraId="B7000000">
      <w:pPr>
        <w:spacing w:line="276" w:lineRule="auto"/>
        <w:ind w:firstLine="709"/>
        <w:jc w:val="center"/>
        <w:rPr>
          <w:rFonts w:ascii="Times New Roman" w:hAnsi="Times New Roman"/>
          <w:b w:val="1"/>
          <w:i w:val="0"/>
          <w:color w:val="000000"/>
        </w:rPr>
      </w:pPr>
    </w:p>
    <w:sectPr>
      <w:footerReference r:id="rId1" w:type="default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media/5.jpeg" Type="http://schemas.openxmlformats.org/officeDocument/2006/relationships/image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media/4.jpeg" Type="http://schemas.openxmlformats.org/officeDocument/2006/relationships/image"/>
  <Relationship Id="rId8" Target="settings.xml" Type="http://schemas.openxmlformats.org/officeDocument/2006/relationships/settings"/>
  <Relationship Id="rId4" Target="media/3.jpeg" Type="http://schemas.openxmlformats.org/officeDocument/2006/relationships/image"/>
  <Relationship Id="rId12" Target="theme/theme1.xml" Type="http://schemas.openxmlformats.org/officeDocument/2006/relationships/theme"/>
  <Relationship Id="rId3" Target="media/2.jpe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2023-12-04T08:28:07Z</dcterms:modified>
</cp:coreProperties>
</file>