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«Особенности процесса формирования  функциональной грамотности на уроках  ОРКСЭ, ОДНКНР»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«Мои ученики будут узнавать новое не от меня. Они будут открывать это новое сами. Моя задача - помочь им раскрыться и развить собственные идеи»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bookmarkStart w:id="0" w:name="__DdeLink__963_2271190277"/>
      <w:bookmarkEnd w:id="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И.Г.Песталоцци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Современные процессы развития общества выдвигают к сфере образования ряд новых требований и задач. Одна из важнейших задач современной школы – воспитание и обучение функционально-грамотных людей.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Леонтьев А.А.: «Функциональная  грамотность — это способность человека использовать приобретаемые в течении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Функциональная грамотность </w:t>
      </w:r>
      <w:r>
        <w:rPr>
          <w:rFonts w:cs="Times New Roman" w:ascii="Times New Roman" w:hAnsi="Times New Roman"/>
          <w:sz w:val="28"/>
          <w:szCs w:val="28"/>
        </w:rPr>
        <w:t xml:space="preserve">простыми словами - это умение применять в жизни знания и навыки, полученные в школе.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современной школе сущностью функциональной грамотности становятся не сами знания, а </w:t>
      </w:r>
      <w:r>
        <w:rPr>
          <w:rFonts w:cs="Times New Roman" w:ascii="Times New Roman" w:hAnsi="Times New Roman"/>
          <w:b/>
          <w:sz w:val="28"/>
          <w:szCs w:val="28"/>
        </w:rPr>
        <w:t>четыре главные способности обучающегося:</w:t>
      </w:r>
      <w:r>
        <w:rPr>
          <w:rFonts w:cs="Times New Roman" w:ascii="Times New Roman" w:hAnsi="Times New Roman"/>
          <w:sz w:val="28"/>
          <w:szCs w:val="28"/>
        </w:rPr>
        <w:t xml:space="preserve"> добывать новые знания; применять полученные знания на практике; оценивать свое знание-незнание; стремиться к саморазвитию.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 основным направлениям функциональной грамотности относятся: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</w:rPr>
        <w:t>Читательская грамотность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</w:rPr>
        <w:t>Математическая грамотность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</w:rPr>
        <w:t>Естественно-научная грамотность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- Компьютерная и информационная (цифровая) грамотность</w:t>
      </w:r>
      <w:r>
        <w:rPr>
          <w:rFonts w:cs="Times New Roman" w:ascii="Times New Roman" w:hAnsi="Times New Roman"/>
          <w:sz w:val="28"/>
          <w:szCs w:val="28"/>
        </w:rPr>
        <w:t xml:space="preserve"> – это способность учащихся использовать компьютеры в личных исследовательских, творческих и коммуникационных целях, чтобы успешно участвовать в учебной, производственной и общественной деятельности.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                    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single"/>
          <w:effect w:val="none"/>
        </w:rPr>
        <w:t>Все эти направления мы можем формировать на уроках ОРКСЭ и ОДНКНР.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Преподавание предметов духовно-нравственной направленности имеет свои особенности и требует применения специальных педагогических технологий.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Достичь нужных результатов можно лишь умело, грамотно сочетая различные современные образовательные педагогические технологии: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технология проектной деятельности;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технология использования игровых методов;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технология проблемного обучения;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обучение на основе «учебных ситуаций»;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технология развития «критического мышления» через чтение и письмо;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технология формирования  правильной читательской деятельности. 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А также используя эффективные педагогические  приемы. Так при формировании читательской грамотности  используются следующие приемы:</w:t>
      </w:r>
    </w:p>
    <w:p>
      <w:pPr>
        <w:pStyle w:val="Style17"/>
        <w:spacing w:lineRule="auto" w:line="24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Прием «Работа с текстом до чтения»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(мотивация ученика, выявление цели чтения»)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Прием «Работа с текстом во время чтения»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(ведение диалога)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Прием «Работа с текстом после чтения»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(постановка проблемного вопроса, работа с незнакомыми словами, характеристика места действия итд)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Прием «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Анализ названия рассказа, истории, сказки, притчи».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                                       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Прием « Беседа по вопросам к тексту»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 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Прием «Составь рассказ по предложению»                                                      Прием «Наведи порядок в тексте»                                                                            Прием «Отметь верные или неверные утверждения»  Прием</w:t>
      </w:r>
      <w:r>
        <w:rPr>
          <w:rFonts w:cs="Times New Roman" w:ascii="Times New Roman" w:hAnsi="Times New Roman"/>
          <w:b/>
          <w:bCs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 «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Иллюстрирование текста».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Прием «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Написание рассказа с опорой на личный опыт»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Прием «Уголки»</w:t>
      </w:r>
      <w:r>
        <w:rPr>
          <w:rFonts w:ascii="Times New Roman" w:hAnsi="Times New Roman"/>
          <w:sz w:val="28"/>
          <w:szCs w:val="28"/>
        </w:rPr>
        <w:t xml:space="preserve"> можно использовать на уроках при 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 Этот прием учит детей диалогу, культуре общения.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Прием «Написание творческих работ»</w:t>
      </w:r>
      <w:r>
        <w:rPr>
          <w:rFonts w:ascii="Times New Roman" w:hAnsi="Times New Roman"/>
          <w:sz w:val="28"/>
          <w:szCs w:val="28"/>
        </w:rPr>
        <w:t xml:space="preserve"> хорошо зарекомендовал себя на этапе 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 по пройденной теме. Эта работа выполняется детьми, в зависимости от их уровня развития.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Прием «Создание викторины».</w:t>
      </w:r>
      <w:r>
        <w:rPr>
          <w:rFonts w:ascii="Times New Roman" w:hAnsi="Times New Roman"/>
          <w:sz w:val="28"/>
          <w:szCs w:val="28"/>
        </w:rPr>
        <w:t xml:space="preserve"> После изучения темы или нескольких тем дети самостоятельно, пользуясь учебными текстами, готовят вопросы для викторины, потом объединяются в группы, и проводят соревнование. Можно предложить каждой группе выбирать лучшего – «знатока», а потом задать ему вопросы (участвуют все желающие).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Прием «Тонкие и толстые вопросы».</w:t>
      </w:r>
      <w:r>
        <w:rPr>
          <w:rFonts w:ascii="Times New Roman" w:hAnsi="Times New Roman"/>
          <w:sz w:val="28"/>
          <w:szCs w:val="28"/>
        </w:rPr>
        <w:t xml:space="preserve"> Дети учатся различать те вопросы, на которые можно дать однозначный ответ (тонкие вопросы), и те, на которые ответить определенно невозможно, проблемные (толстые) вопросы. Примеры ключевых слов толстых и тонких вопросов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Толстые вопросы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</w:rPr>
        <w:t xml:space="preserve">айте несколько объяснений, почему...?                                                                              Почему Вы считаете (думаете) …?                                                                                        В чем различие…? Предположите, что будет, если…?                                                              Что, если…?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Тонкие вопросы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Кто…? Что…?                                                                                                            Когда…? Может…?                                                                                                      Будет…? Мог ли …? Верно ли …?                                                                                  Было ли …? Как звали …? Согласны ли Вы…?                                                            </w:t>
      </w:r>
      <w:r>
        <w:rPr>
          <w:rFonts w:ascii="Times New Roman;serif" w:hAnsi="Times New Roman;serif"/>
          <w:b/>
          <w:bCs/>
          <w:i w:val="false"/>
          <w:iCs w:val="false"/>
          <w:caps w:val="false"/>
          <w:smallCaps w:val="false"/>
          <w:color w:val="111115"/>
          <w:spacing w:val="0"/>
          <w:sz w:val="28"/>
          <w:szCs w:val="28"/>
        </w:rPr>
        <w:t xml:space="preserve">Прием «Реставрация текста»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11115"/>
          <w:spacing w:val="0"/>
          <w:sz w:val="28"/>
          <w:szCs w:val="28"/>
        </w:rPr>
        <w:t xml:space="preserve">Один из продуктивных приемов работы с текстом на  является 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111115"/>
          <w:spacing w:val="0"/>
          <w:sz w:val="28"/>
          <w:szCs w:val="28"/>
        </w:rPr>
        <w:t>«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5"/>
          <w:spacing w:val="0"/>
          <w:sz w:val="28"/>
          <w:szCs w:val="28"/>
        </w:rPr>
        <w:t>Письмо с дырками</w:t>
      </w:r>
      <w:r>
        <w:rPr>
          <w:rFonts w:ascii="Ubuntu-Medium;Arial;sans-serif" w:hAnsi="Ubuntu-Medium;Arial;sans-serif"/>
          <w:b/>
          <w:bCs/>
          <w:i w:val="false"/>
          <w:caps w:val="false"/>
          <w:smallCaps w:val="false"/>
          <w:color w:val="111115"/>
          <w:spacing w:val="0"/>
          <w:sz w:val="28"/>
          <w:szCs w:val="28"/>
        </w:rPr>
        <w:t>»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11115"/>
          <w:spacing w:val="0"/>
          <w:sz w:val="28"/>
          <w:szCs w:val="28"/>
        </w:rPr>
        <w:t>». Этот прием подойдет в качестве проверки усвоенных ранее знаний и для работы с параграфом при изучении нового материала 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11115"/>
          <w:spacing w:val="0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111115"/>
          <w:spacing w:val="0"/>
          <w:sz w:val="28"/>
          <w:szCs w:val="28"/>
        </w:rPr>
        <w:t>Прием «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 xml:space="preserve">Иллюстрирование текста»                                  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Математическая грамотность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является вторым по значимости компонентом функциональной грамотности. Она предполагает способность использовать математику, чтобы помочь решить реальные проблемы, включает также способность понимать «язык» математики. Так, при знакомстве с устройством храмов и различных  архитектурных сооружений, обучающиеся  находят для себя необходимую информацию в цифрах и затем составляют задачи и решают их.  Например: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строительство Успенского собора  в Ярославле началось в 1215г; х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202122"/>
          <w:spacing w:val="0"/>
          <w:sz w:val="28"/>
          <w:szCs w:val="28"/>
          <w:u w:val="none"/>
          <w:effect w:val="none"/>
        </w:rPr>
        <w:t xml:space="preserve">рам был торжественно освящён в 1219 г. В советское врем собор был разрушен ;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Когда  собор был восстановлен и начал действовать (в каком году).                            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Естественнонаучная грамотность</w:t>
      </w:r>
      <w:r>
        <w:rPr>
          <w:rFonts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— </w:t>
      </w:r>
      <w:r>
        <w:rPr>
          <w:rFonts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это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способность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Изучая тему «Бережное отношение к природе» на уроках ОДНКНР,  отвечаем на проблемные вопросы, работаем с документами, анализируем термины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single"/>
          <w:effect w:val="none"/>
        </w:rPr>
        <w:t xml:space="preserve">расточительный и бережный.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                                                                  Одним из примеров формирования </w:t>
      </w:r>
      <w:r>
        <w:rPr>
          <w:rFonts w:ascii="Times New Roman" w:hAnsi="Times New Roman"/>
          <w:b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критического мышления и технологических компетенций</w:t>
      </w: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является игра, которая используется нами на уроке-обобщении по теме «Религии и культура. Священные сооружения».        </w:t>
      </w:r>
    </w:p>
    <w:p>
      <w:pPr>
        <w:pStyle w:val="Style17"/>
        <w:spacing w:lineRule="auto" w:line="240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Предметы ОРКСЭ и ОДНКНР являются интегрированными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и включают в себя такие предметные области, как  «Литературное чтение», «История»,  «Окружающий мир», «География», «Технология», «Изо». Поэтому изучая  данные предметные области ребята могут  подготовить свой материал на заданную тему, а также свои вопросы и задания, что они делают с большим удовольствием, используя ранее полученные знания.                                                                                                         Создавая рисунки, поделки   учащиеся  овладевают  умениями самообслуживания, навыками обработки различных материалов; развивают   индивидуально-творческих особенности личности.             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Не раз знания,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олученные при преподавании предметных областей ОРКСЭ и ОДНКНР используются, на уроках истории и обществознания. Например, в предмете «Обществознание» есть большие темы «Духовно-нравственное воспитание» и «Личность и ее роль в жизни общества»…                                     В ходе проектной деятельности ученики используют знания полученные и на уроках окружающего мира, литературного чтения, технологии и ИЗО.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В работе учителя понимание функциональной грамотности, это, прежде всего, как ученик освоил теоретический материал, и как он может применить его на практике.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Функциональная грамотность сегодня стала важнейшим индикатором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общественного благополучия, а функциональная грамотность школьников –важным показателем качества образования.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Итак, модель формирования и развития функциональной грамотности можно представить в виде плодового дерева. Как любому дереву необходим уход, полив, тепло, свет, так и личности, приходящей на урок к учителю, необходимы Знания Умения и Навыки.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Поливая дерево, спланированной, четко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 яблочки (ключевые компетенции), т.е. образованных, успешных, способных к саморазвитию людей. Слайд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Дерево – функционально грамотная личность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Вода – педагогические технологии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Яблочки – ключевые компетенции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Лейка – учитель (для того, чтобы поливать, должен постоянно пополняться, т.е. заниматься самообразованием).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школьников.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Spacing"/>
        <w:ind w:firstLine="709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Ubuntu-Medium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7135985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1e2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5935f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5">
    <w:name w:val="Heading 5"/>
    <w:basedOn w:val="Normal"/>
    <w:link w:val="50"/>
    <w:uiPriority w:val="9"/>
    <w:semiHidden/>
    <w:unhideWhenUsed/>
    <w:qFormat/>
    <w:rsid w:val="00df0592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link w:val="60"/>
    <w:uiPriority w:val="9"/>
    <w:semiHidden/>
    <w:unhideWhenUsed/>
    <w:qFormat/>
    <w:rsid w:val="00df0592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935fd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1">
    <w:name w:val="Интернет-ссылка"/>
    <w:basedOn w:val="DefaultParagraphFont"/>
    <w:uiPriority w:val="99"/>
    <w:semiHidden/>
    <w:unhideWhenUsed/>
    <w:rsid w:val="005935fd"/>
    <w:rPr>
      <w:color w:val="0000FF"/>
      <w:u w:val="single"/>
    </w:rPr>
  </w:style>
  <w:style w:type="character" w:styleId="Link" w:customStyle="1">
    <w:name w:val="link"/>
    <w:basedOn w:val="DefaultParagraphFont"/>
    <w:qFormat/>
    <w:rsid w:val="005935fd"/>
    <w:rPr/>
  </w:style>
  <w:style w:type="character" w:styleId="A11yhidden" w:customStyle="1">
    <w:name w:val="a11yhidden"/>
    <w:basedOn w:val="DefaultParagraphFont"/>
    <w:qFormat/>
    <w:rsid w:val="005935fd"/>
    <w:rPr/>
  </w:style>
  <w:style w:type="character" w:styleId="Organictitlecontentspan" w:customStyle="1">
    <w:name w:val="organictitlecontentspan"/>
    <w:basedOn w:val="DefaultParagraphFont"/>
    <w:qFormat/>
    <w:rsid w:val="005935fd"/>
    <w:rPr/>
  </w:style>
  <w:style w:type="character" w:styleId="Pathseparator" w:customStyle="1">
    <w:name w:val="path-separator"/>
    <w:basedOn w:val="DefaultParagraphFont"/>
    <w:qFormat/>
    <w:rsid w:val="005935fd"/>
    <w:rPr/>
  </w:style>
  <w:style w:type="character" w:styleId="Extendedtextshort" w:customStyle="1">
    <w:name w:val="extendedtext-short"/>
    <w:basedOn w:val="DefaultParagraphFont"/>
    <w:qFormat/>
    <w:rsid w:val="005935fd"/>
    <w:rPr/>
  </w:style>
  <w:style w:type="character" w:styleId="Extendedtextfull" w:customStyle="1">
    <w:name w:val="extendedtext-full"/>
    <w:basedOn w:val="DefaultParagraphFont"/>
    <w:qFormat/>
    <w:rsid w:val="005935fd"/>
    <w:rPr/>
  </w:style>
  <w:style w:type="character" w:styleId="Button2text" w:customStyle="1">
    <w:name w:val="button2-text"/>
    <w:basedOn w:val="DefaultParagraphFont"/>
    <w:qFormat/>
    <w:rsid w:val="005935fd"/>
    <w:rPr/>
  </w:style>
  <w:style w:type="character" w:styleId="Unisearchheadertitletext" w:customStyle="1">
    <w:name w:val="unisearchheader-title-text"/>
    <w:basedOn w:val="DefaultParagraphFont"/>
    <w:qFormat/>
    <w:rsid w:val="005935fd"/>
    <w:rPr/>
  </w:style>
  <w:style w:type="character" w:styleId="A11yhidden1" w:customStyle="1">
    <w:name w:val="a11y-hidden"/>
    <w:basedOn w:val="DefaultParagraphFont"/>
    <w:qFormat/>
    <w:rsid w:val="005935fd"/>
    <w:rPr/>
  </w:style>
  <w:style w:type="character" w:styleId="Warningitem" w:customStyle="1">
    <w:name w:val="warning-item"/>
    <w:basedOn w:val="DefaultParagraphFont"/>
    <w:qFormat/>
    <w:rsid w:val="005935fd"/>
    <w:rPr/>
  </w:style>
  <w:style w:type="character" w:styleId="Pageritem" w:customStyle="1">
    <w:name w:val="pager__item"/>
    <w:basedOn w:val="DefaultParagraphFont"/>
    <w:qFormat/>
    <w:rsid w:val="005935fd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df059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df0592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f0592"/>
    <w:rPr>
      <w:b/>
      <w:bCs/>
    </w:rPr>
  </w:style>
  <w:style w:type="character" w:styleId="Style12">
    <w:name w:val="Выделение"/>
    <w:basedOn w:val="DefaultParagraphFont"/>
    <w:uiPriority w:val="20"/>
    <w:qFormat/>
    <w:rsid w:val="00df0592"/>
    <w:rPr>
      <w:i/>
      <w:iCs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df05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407fa"/>
    <w:rPr>
      <w:color w:val="800080" w:themeColor="followedHyperlink"/>
      <w:u w:val="single"/>
    </w:rPr>
  </w:style>
  <w:style w:type="character" w:styleId="Style14" w:customStyle="1">
    <w:name w:val="Верхний колонтитул Знак"/>
    <w:basedOn w:val="DefaultParagraphFont"/>
    <w:link w:val="ac"/>
    <w:uiPriority w:val="99"/>
    <w:semiHidden/>
    <w:qFormat/>
    <w:rsid w:val="004407fa"/>
    <w:rPr/>
  </w:style>
  <w:style w:type="character" w:styleId="Style15" w:customStyle="1">
    <w:name w:val="Нижний колонтитул Знак"/>
    <w:basedOn w:val="DefaultParagraphFont"/>
    <w:link w:val="ae"/>
    <w:uiPriority w:val="99"/>
    <w:qFormat/>
    <w:rsid w:val="004407f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f05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df05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07fa"/>
    <w:pPr>
      <w:spacing w:lineRule="auto" w:line="259" w:before="0" w:after="160"/>
      <w:ind w:left="720" w:hanging="0"/>
    </w:pPr>
    <w:rPr>
      <w:rFonts w:ascii="Calibri" w:hAnsi="Calibri" w:eastAsia="Calibri" w:cs="Calibri"/>
      <w:lang w:eastAsia="en-US"/>
    </w:rPr>
  </w:style>
  <w:style w:type="paragraph" w:styleId="NoSpacing">
    <w:name w:val="No Spacing"/>
    <w:uiPriority w:val="99"/>
    <w:qFormat/>
    <w:rsid w:val="004407fa"/>
    <w:pPr>
      <w:widowControl/>
      <w:bidi w:val="0"/>
      <w:spacing w:lineRule="auto" w:line="240" w:before="0" w:after="0"/>
      <w:ind w:firstLine="851"/>
      <w:jc w:val="left"/>
    </w:pPr>
    <w:rPr>
      <w:rFonts w:ascii="Calibri" w:hAnsi="Calibri" w:eastAsia="Calibri" w:cs="Calibri" w:asciiTheme="minorHAnsi" w:hAnsiTheme="minorHAnsi"/>
      <w:color w:val="00000A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ad"/>
    <w:uiPriority w:val="99"/>
    <w:semiHidden/>
    <w:unhideWhenUsed/>
    <w:rsid w:val="004407f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f"/>
    <w:uiPriority w:val="99"/>
    <w:unhideWhenUsed/>
    <w:rsid w:val="004407f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Application>LibreOffice/5.4.3.2$Windows_x86 LibreOffice_project/92a7159f7e4af62137622921e809f8546db437e5</Application>
  <Pages>4</Pages>
  <Words>1014</Words>
  <Characters>7113</Characters>
  <CharactersWithSpaces>10313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2022-11-27T09:36:00Z</dcterms:created>
  <dc:creator>МГ</dc:creator>
  <dc:description/>
  <dc:language>ru-RU</dc:language>
  <cp:lastModifiedBy/>
  <dcterms:modified xsi:type="dcterms:W3CDTF">2023-04-03T12:21:30Z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