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A7" w:rsidRPr="00C845A7" w:rsidRDefault="00C845A7" w:rsidP="00C845A7">
      <w:pPr>
        <w:pStyle w:val="a7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845A7">
        <w:rPr>
          <w:rFonts w:ascii="Times New Roman" w:eastAsia="Times New Roman" w:hAnsi="Times New Roman" w:cs="Times New Roman"/>
          <w:kern w:val="36"/>
          <w:sz w:val="28"/>
          <w:szCs w:val="28"/>
        </w:rPr>
        <w:t>Практика организации познавательно-исследовательской деятельности детей в детском саду (младший возраст)</w:t>
      </w:r>
    </w:p>
    <w:p w:rsidR="00C845A7" w:rsidRPr="00C845A7" w:rsidRDefault="00C845A7" w:rsidP="00C845A7">
      <w:pPr>
        <w:pStyle w:val="a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 xml:space="preserve">Младший дошкольный возраст </w:t>
      </w:r>
      <w:r w:rsidRPr="00C845A7">
        <w:rPr>
          <w:rFonts w:ascii="Times New Roman" w:eastAsia="Times New Roman" w:hAnsi="Times New Roman" w:cs="Times New Roman"/>
          <w:i/>
          <w:iCs/>
          <w:sz w:val="24"/>
          <w:szCs w:val="24"/>
        </w:rPr>
        <w:t>(вторая младшая группа)</w:t>
      </w:r>
    </w:p>
    <w:p w:rsidR="00C845A7" w:rsidRPr="00C845A7" w:rsidRDefault="00C845A7" w:rsidP="00C845A7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5A7" w:rsidRPr="00C845A7" w:rsidRDefault="00C845A7" w:rsidP="00C845A7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>Познавательно – исследовательская деятельность создает условия для обогащения развития ребенка. Она позволяет спроектировать условия возникновения таких психических способностей и свойств, которыми ребенок пока не обладает, направить процесс их становления не только извне – через побуждение, но и изнутри – путем построения деятельности, педагога и ребенка.</w:t>
      </w:r>
    </w:p>
    <w:p w:rsidR="00C845A7" w:rsidRPr="00C845A7" w:rsidRDefault="00C845A7" w:rsidP="00C845A7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>Цель познавательно-исследовательской деятельности в детском саду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845A7">
        <w:rPr>
          <w:rFonts w:ascii="Times New Roman" w:eastAsia="Times New Roman" w:hAnsi="Times New Roman" w:cs="Times New Roman"/>
          <w:sz w:val="24"/>
          <w:szCs w:val="24"/>
        </w:rPr>
        <w:t>формировать у дошкольников основные ключевые компетенции, способность к исследовательскому типу мышления.</w:t>
      </w:r>
    </w:p>
    <w:p w:rsidR="00C845A7" w:rsidRPr="00C845A7" w:rsidRDefault="00C845A7" w:rsidP="00C845A7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>Задачи познавательн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о-исследовательской деятельности:</w:t>
      </w:r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 xml:space="preserve">-способствовать вхождению воспитанников в проблемную игровую ситуацию </w:t>
      </w:r>
      <w:r w:rsidRPr="00C845A7">
        <w:rPr>
          <w:rFonts w:ascii="Times New Roman" w:eastAsia="Times New Roman" w:hAnsi="Times New Roman" w:cs="Times New Roman"/>
          <w:i/>
          <w:iCs/>
          <w:sz w:val="24"/>
          <w:szCs w:val="24"/>
        </w:rPr>
        <w:t>(ведущая роль педагога)</w:t>
      </w:r>
      <w:r w:rsidRPr="00C845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 xml:space="preserve">- активизировать желание искать пути разрешения проблемной ситуации </w:t>
      </w:r>
      <w:r w:rsidRPr="00C845A7">
        <w:rPr>
          <w:rFonts w:ascii="Times New Roman" w:eastAsia="Times New Roman" w:hAnsi="Times New Roman" w:cs="Times New Roman"/>
          <w:i/>
          <w:iCs/>
          <w:sz w:val="24"/>
          <w:szCs w:val="24"/>
        </w:rPr>
        <w:t>(вместе с педагогом)</w:t>
      </w:r>
      <w:r w:rsidRPr="00C845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>-развивать способность пристальному и целенап</w:t>
      </w:r>
      <w:r>
        <w:rPr>
          <w:rFonts w:ascii="Times New Roman" w:eastAsia="Times New Roman" w:hAnsi="Times New Roman" w:cs="Times New Roman"/>
          <w:sz w:val="24"/>
          <w:szCs w:val="24"/>
        </w:rPr>
        <w:t>равленному обследованию объекта.</w:t>
      </w:r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C845A7" w:rsidRPr="00AF4283" w:rsidRDefault="00C845A7" w:rsidP="00C845A7">
      <w:pPr>
        <w:pStyle w:val="a7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4283">
        <w:rPr>
          <w:rFonts w:ascii="Times New Roman" w:eastAsia="Times New Roman" w:hAnsi="Times New Roman" w:cs="Times New Roman"/>
          <w:sz w:val="28"/>
          <w:szCs w:val="28"/>
        </w:rPr>
        <w:t>Виды деятельности.</w:t>
      </w:r>
    </w:p>
    <w:p w:rsidR="00C845A7" w:rsidRPr="00C845A7" w:rsidRDefault="00C845A7" w:rsidP="00C845A7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>Всем известно, что у детей – дошкольников преобладает наглядно – образное мышление, поэтому наблюдения за неживой природой играют важную роль в системе подачи материала по познавательно- исследовательской деятельности.</w:t>
      </w:r>
    </w:p>
    <w:p w:rsidR="00C845A7" w:rsidRPr="00C845A7" w:rsidRDefault="00C845A7" w:rsidP="00C845A7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>Грамотно проведенная тематическая беседа с использованием иллюстраций, слайдов, макетов также способствует накоплению знаний о законах окружающего мира.</w:t>
      </w:r>
    </w:p>
    <w:p w:rsidR="00C845A7" w:rsidRPr="00C845A7" w:rsidRDefault="00C845A7" w:rsidP="00C845A7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>Опыты – один из интереснейших и любимых детьми вид деятельности, где переплетаются и беседы, и наблюдения. Еще опыты способствуют развитию таких мыслительных процессов, как анализ, синтез, сравнение.</w:t>
      </w:r>
    </w:p>
    <w:p w:rsidR="00C845A7" w:rsidRPr="00C845A7" w:rsidRDefault="00C845A7" w:rsidP="00C845A7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 xml:space="preserve">Ну, </w:t>
      </w:r>
      <w:proofErr w:type="gramStart"/>
      <w:r w:rsidRPr="00C845A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845A7">
        <w:rPr>
          <w:rFonts w:ascii="Times New Roman" w:eastAsia="Times New Roman" w:hAnsi="Times New Roman" w:cs="Times New Roman"/>
          <w:sz w:val="24"/>
          <w:szCs w:val="24"/>
        </w:rPr>
        <w:t xml:space="preserve"> конечно же, самый главный вид детской деятельности, который позволяет в непринужденной форме проводить детскую исследовательскую деятельность, это игра.</w:t>
      </w:r>
    </w:p>
    <w:p w:rsidR="00C845A7" w:rsidRDefault="00C845A7" w:rsidP="00C845A7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>В совокупности все 4 вида деятельности способствуют развитию познавательно - исследовательской деятельности.</w:t>
      </w:r>
    </w:p>
    <w:p w:rsidR="00C845A7" w:rsidRPr="00C845A7" w:rsidRDefault="00C845A7" w:rsidP="00C845A7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845A7" w:rsidRPr="00C845A7" w:rsidRDefault="00C845A7" w:rsidP="00C845A7">
      <w:pPr>
        <w:pStyle w:val="a7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5A7">
        <w:rPr>
          <w:rFonts w:ascii="Times New Roman" w:eastAsia="Times New Roman" w:hAnsi="Times New Roman" w:cs="Times New Roman"/>
          <w:sz w:val="28"/>
          <w:szCs w:val="28"/>
        </w:rPr>
        <w:t>Формы развития познавательно-исследовательской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>-Экспериментирование;</w:t>
      </w:r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>-исследование;</w:t>
      </w:r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>- коллекционирование;</w:t>
      </w:r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>-проектирование.</w:t>
      </w:r>
    </w:p>
    <w:p w:rsidR="00C845A7" w:rsidRPr="00C845A7" w:rsidRDefault="00C845A7" w:rsidP="00C845A7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>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– практически единственным способом познания мира.</w:t>
      </w:r>
    </w:p>
    <w:p w:rsidR="00C845A7" w:rsidRPr="00C845A7" w:rsidRDefault="00C845A7" w:rsidP="00C845A7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>Последовательность детского экспериментирования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>1. Постановка исследовательской задачи в виде того или иного варианта проблемной ситуации.</w:t>
      </w:r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 xml:space="preserve">2. Прогнозирование результата </w:t>
      </w:r>
      <w:r w:rsidRPr="00C845A7">
        <w:rPr>
          <w:rFonts w:ascii="Times New Roman" w:eastAsia="Times New Roman" w:hAnsi="Times New Roman" w:cs="Times New Roman"/>
          <w:i/>
          <w:iCs/>
          <w:sz w:val="24"/>
          <w:szCs w:val="24"/>
        </w:rPr>
        <w:t>(старший возраст)</w:t>
      </w:r>
      <w:r w:rsidRPr="00C845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>3. Уточнение правил безопасности жизнедеятельности в ходе осуществления экспериментирования.</w:t>
      </w:r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 xml:space="preserve">4. Распределение воспитанников на подгруппы, выбор ведущих, капитанов </w:t>
      </w:r>
      <w:r w:rsidRPr="00C845A7">
        <w:rPr>
          <w:rFonts w:ascii="Times New Roman" w:eastAsia="Times New Roman" w:hAnsi="Times New Roman" w:cs="Times New Roman"/>
          <w:i/>
          <w:iCs/>
          <w:sz w:val="24"/>
          <w:szCs w:val="24"/>
        </w:rPr>
        <w:t>(старший возраст)</w:t>
      </w:r>
      <w:r w:rsidRPr="00C845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 xml:space="preserve">5. Выполнение эксперимента </w:t>
      </w:r>
      <w:r w:rsidRPr="00C845A7">
        <w:rPr>
          <w:rFonts w:ascii="Times New Roman" w:eastAsia="Times New Roman" w:hAnsi="Times New Roman" w:cs="Times New Roman"/>
          <w:i/>
          <w:iCs/>
          <w:sz w:val="24"/>
          <w:szCs w:val="24"/>
        </w:rPr>
        <w:t>(под руководством взрослого)</w:t>
      </w:r>
      <w:r w:rsidRPr="00C845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lastRenderedPageBreak/>
        <w:t>6. Наблюдение результатов эксперимента.</w:t>
      </w:r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>7. Фиксирование результатов эксперимента.</w:t>
      </w:r>
    </w:p>
    <w:p w:rsid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>8. Формулировка выводов.</w:t>
      </w:r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C845A7" w:rsidRPr="00C845A7" w:rsidRDefault="00C845A7" w:rsidP="00C845A7">
      <w:pPr>
        <w:pStyle w:val="a7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5A7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Предметно-пространственная среда для экспериментирования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5A7" w:rsidRPr="00C845A7" w:rsidRDefault="00C845A7" w:rsidP="00C845A7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>Организация мини-лабораторий в детском саду</w:t>
      </w:r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  <w:u w:val="single"/>
        </w:rPr>
        <w:t>В мини-лабораториях может быть выделено</w:t>
      </w:r>
      <w:r w:rsidRPr="00C845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>1. Место для постоянной выставки.</w:t>
      </w:r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>2. Место для приборов.</w:t>
      </w:r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>3. Место для выращивания растений.</w:t>
      </w:r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>4. Место для хранения природного и бросового материалов.</w:t>
      </w:r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>5. Место для проведения опытов.</w:t>
      </w:r>
    </w:p>
    <w:p w:rsid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 xml:space="preserve">6. Место для неструктурированных материалов (стол </w:t>
      </w:r>
      <w:r w:rsidRPr="00C845A7">
        <w:rPr>
          <w:rFonts w:ascii="Times New Roman" w:eastAsia="Times New Roman" w:hAnsi="Times New Roman" w:cs="Times New Roman"/>
          <w:i/>
          <w:iCs/>
          <w:sz w:val="24"/>
          <w:szCs w:val="24"/>
        </w:rPr>
        <w:t>«песок-вода»</w:t>
      </w:r>
      <w:r w:rsidRPr="00C845A7">
        <w:rPr>
          <w:rFonts w:ascii="Times New Roman" w:eastAsia="Times New Roman" w:hAnsi="Times New Roman" w:cs="Times New Roman"/>
          <w:sz w:val="24"/>
          <w:szCs w:val="24"/>
        </w:rPr>
        <w:t xml:space="preserve"> и емкость для песка и воды и т. д.)</w:t>
      </w:r>
    </w:p>
    <w:p w:rsidR="00C845A7" w:rsidRPr="00C845A7" w:rsidRDefault="00C845A7" w:rsidP="00C845A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45A7" w:rsidRPr="00C845A7" w:rsidRDefault="00C845A7" w:rsidP="00C845A7">
      <w:pPr>
        <w:pStyle w:val="a7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8"/>
          <w:szCs w:val="28"/>
        </w:rPr>
        <w:t>Приборы и оборудование для мини-лабораторий.</w:t>
      </w:r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845A7">
        <w:rPr>
          <w:rFonts w:ascii="Times New Roman" w:eastAsia="Times New Roman" w:hAnsi="Times New Roman" w:cs="Times New Roman"/>
          <w:sz w:val="24"/>
          <w:szCs w:val="24"/>
        </w:rPr>
        <w:t>Микроскопы, лупы, зеркала, термометры, бинокли, весы, веревки, пипетки, линейки, глобус, лампы, фонарики, венчики, взбивалки, мыло, щетки, губки, желоба, одноразовые шприцы, пищевые красители, песочные часы, ножницы, отвертки, винтики, терка, наждачная бумага, лоскутки ткани, соль, клей, колесики, дерево, металл, мел, пластмасса и т. п.</w:t>
      </w:r>
      <w:proofErr w:type="gramEnd"/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845A7">
        <w:rPr>
          <w:rFonts w:ascii="Times New Roman" w:eastAsia="Times New Roman" w:hAnsi="Times New Roman" w:cs="Times New Roman"/>
          <w:sz w:val="24"/>
          <w:szCs w:val="24"/>
          <w:u w:val="single"/>
        </w:rPr>
        <w:t>Емкости</w:t>
      </w:r>
      <w:r w:rsidRPr="00C845A7">
        <w:rPr>
          <w:rFonts w:ascii="Times New Roman" w:eastAsia="Times New Roman" w:hAnsi="Times New Roman" w:cs="Times New Roman"/>
          <w:sz w:val="24"/>
          <w:szCs w:val="24"/>
        </w:rPr>
        <w:t>: пластиковые банки, бутылки, стаканы разной формы, величины, мерки, воронки, сита, лопатки, формочки.</w:t>
      </w:r>
      <w:proofErr w:type="gramEnd"/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C845A7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Материалы</w:t>
      </w:r>
      <w:r w:rsidRPr="00C845A7">
        <w:rPr>
          <w:rFonts w:ascii="Times New Roman" w:eastAsia="Times New Roman" w:hAnsi="Times New Roman" w:cs="Times New Roman"/>
          <w:sz w:val="24"/>
          <w:szCs w:val="24"/>
        </w:rPr>
        <w:t xml:space="preserve">: природные (желуди, шишки, семена, спилы дерева и т. д., бросовые </w:t>
      </w:r>
      <w:r w:rsidRPr="00C845A7">
        <w:rPr>
          <w:rFonts w:ascii="Times New Roman" w:eastAsia="Times New Roman" w:hAnsi="Times New Roman" w:cs="Times New Roman"/>
          <w:i/>
          <w:iCs/>
          <w:sz w:val="24"/>
          <w:szCs w:val="24"/>
        </w:rPr>
        <w:t>(пробки, палочки, резиновые шланги, трубочки и т. д.)</w:t>
      </w:r>
      <w:proofErr w:type="gramEnd"/>
    </w:p>
    <w:p w:rsidR="00C845A7" w:rsidRPr="00C845A7" w:rsidRDefault="00C845A7" w:rsidP="00C84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845A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845A7">
        <w:rPr>
          <w:rFonts w:ascii="Times New Roman" w:eastAsia="Times New Roman" w:hAnsi="Times New Roman" w:cs="Times New Roman"/>
          <w:sz w:val="24"/>
          <w:szCs w:val="24"/>
          <w:u w:val="single"/>
        </w:rPr>
        <w:t>Неструктурированные материалы</w:t>
      </w:r>
      <w:r w:rsidRPr="00C845A7">
        <w:rPr>
          <w:rFonts w:ascii="Times New Roman" w:eastAsia="Times New Roman" w:hAnsi="Times New Roman" w:cs="Times New Roman"/>
          <w:sz w:val="24"/>
          <w:szCs w:val="24"/>
        </w:rPr>
        <w:t>: песок, вода, опилки, листья, пенопласт и т. д.</w:t>
      </w:r>
    </w:p>
    <w:p w:rsidR="00CC6F39" w:rsidRDefault="00CC6F39"/>
    <w:sectPr w:rsidR="00CC6F39" w:rsidSect="0034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45A7"/>
    <w:rsid w:val="003458DF"/>
    <w:rsid w:val="00AF4283"/>
    <w:rsid w:val="00C845A7"/>
    <w:rsid w:val="00CC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DF"/>
  </w:style>
  <w:style w:type="paragraph" w:styleId="1">
    <w:name w:val="heading 1"/>
    <w:basedOn w:val="a"/>
    <w:link w:val="10"/>
    <w:uiPriority w:val="9"/>
    <w:qFormat/>
    <w:rsid w:val="00C8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5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8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8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45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5A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845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598</Words>
  <Characters>3411</Characters>
  <Application>Microsoft Office Word</Application>
  <DocSecurity>0</DocSecurity>
  <Lines>28</Lines>
  <Paragraphs>8</Paragraphs>
  <ScaleCrop>false</ScaleCrop>
  <Company>*Питер-Company*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2022-12-19T07:03:00Z</dcterms:created>
  <dcterms:modified xsi:type="dcterms:W3CDTF">2022-12-19T07:20:00Z</dcterms:modified>
</cp:coreProperties>
</file>