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60" w:rsidRPr="00F60DFE" w:rsidRDefault="00272160" w:rsidP="00F60DFE">
      <w:pPr>
        <w:spacing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2E1604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2E1604">
        <w:rPr>
          <w:rFonts w:ascii="Times New Roman" w:hAnsi="Times New Roman" w:cs="Times New Roman"/>
          <w:b/>
          <w:sz w:val="28"/>
          <w:szCs w:val="28"/>
        </w:rPr>
        <w:t>нейротренажеров</w:t>
      </w:r>
      <w:proofErr w:type="spellEnd"/>
      <w:r w:rsidRPr="002E1604">
        <w:rPr>
          <w:rFonts w:ascii="Times New Roman" w:hAnsi="Times New Roman" w:cs="Times New Roman"/>
          <w:b/>
          <w:sz w:val="28"/>
          <w:szCs w:val="28"/>
        </w:rPr>
        <w:t xml:space="preserve"> в развитии и коррекции русской и татарской </w:t>
      </w:r>
      <w:proofErr w:type="gramStart"/>
      <w:r w:rsidRPr="002E1604">
        <w:rPr>
          <w:rFonts w:ascii="Times New Roman" w:hAnsi="Times New Roman" w:cs="Times New Roman"/>
          <w:b/>
          <w:sz w:val="28"/>
          <w:szCs w:val="28"/>
        </w:rPr>
        <w:t>речи.</w:t>
      </w:r>
      <w:r w:rsidRPr="002E1604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E1604" w:rsidRPr="002E1604" w:rsidRDefault="00272160" w:rsidP="00F60DF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 xml:space="preserve">Бесспорно, одним из важнейших показателей психического здоровья ребенка является речь. Основными признаками тяжёлого недоразвития речи в дошкольном возрасте являются позднее начало речи, замедленный темп, своеобразный ход ее развития, ограниченный запас слов, достаточно стойкие трудности в формировании грамматического строя речи, дефекты произношения и звукового анализа. </w:t>
      </w:r>
    </w:p>
    <w:p w:rsidR="00272160" w:rsidRPr="002E1604" w:rsidRDefault="00272160" w:rsidP="00F60DF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 xml:space="preserve">В республике Татарстан равноправными считаются два языка: русский и </w:t>
      </w:r>
      <w:proofErr w:type="gramStart"/>
      <w:r w:rsidRPr="002E1604">
        <w:rPr>
          <w:rFonts w:ascii="Times New Roman" w:hAnsi="Times New Roman" w:cs="Times New Roman"/>
          <w:sz w:val="28"/>
          <w:szCs w:val="28"/>
        </w:rPr>
        <w:t>татарский,  поэтому</w:t>
      </w:r>
      <w:proofErr w:type="gramEnd"/>
      <w:r w:rsidRPr="002E1604">
        <w:rPr>
          <w:rFonts w:ascii="Times New Roman" w:hAnsi="Times New Roman" w:cs="Times New Roman"/>
          <w:sz w:val="28"/>
          <w:szCs w:val="28"/>
        </w:rPr>
        <w:t xml:space="preserve"> с раннего детства детям прививают любовь к двум языкам. </w:t>
      </w:r>
    </w:p>
    <w:p w:rsidR="00272160" w:rsidRPr="002E1604" w:rsidRDefault="00272160" w:rsidP="00F60DF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 xml:space="preserve">В современном процессе развития невозможно удержаться на одном месте. Новые увлекательные игры особенно впечатляют детей дошкольного возраста. И поэтому перед нами, педагогами встала задача заменить прежние традиционные методы на новые. В процессе работы с учебно-методическим пособием (УМК) возникают актуальные проблемы, как заинтересовать ребенка, использовать новые технологии. </w:t>
      </w:r>
    </w:p>
    <w:p w:rsidR="00272160" w:rsidRPr="002E1604" w:rsidRDefault="00272160" w:rsidP="00F60DFE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>На наш взгляд, одним из наиболее выгодных и интересных средств обучения детей языку является развитие межполушарного взаимодействия: 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нейротренажеры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160" w:rsidRPr="002E1604" w:rsidRDefault="00272160" w:rsidP="00F60DFE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2E1604">
        <w:rPr>
          <w:rFonts w:ascii="Times New Roman" w:hAnsi="Times New Roman" w:cs="Times New Roman"/>
          <w:b/>
          <w:bCs/>
          <w:sz w:val="28"/>
          <w:szCs w:val="28"/>
        </w:rPr>
        <w:t>Нейротренажёры</w:t>
      </w:r>
      <w:proofErr w:type="spellEnd"/>
      <w:r w:rsidRPr="002E1604">
        <w:rPr>
          <w:rFonts w:ascii="Times New Roman" w:hAnsi="Times New Roman" w:cs="Times New Roman"/>
          <w:b/>
          <w:bCs/>
          <w:sz w:val="28"/>
          <w:szCs w:val="28"/>
        </w:rPr>
        <w:t xml:space="preserve"> — это игровое оборудование, улучшающее работу мозга через воздействие на тело. </w:t>
      </w:r>
      <w:proofErr w:type="spellStart"/>
      <w:r w:rsidRPr="002E1604">
        <w:rPr>
          <w:rFonts w:ascii="Times New Roman" w:hAnsi="Times New Roman" w:cs="Times New Roman"/>
          <w:b/>
          <w:bCs/>
          <w:sz w:val="28"/>
          <w:szCs w:val="28"/>
        </w:rPr>
        <w:t>Нейротренажёры</w:t>
      </w:r>
      <w:proofErr w:type="spellEnd"/>
      <w:r w:rsidRPr="002E1604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 показаны детям, так как именно в дошкольный и младший школьный период идёт активное формирование мозговых структур и развивается интеллект.</w:t>
      </w:r>
    </w:p>
    <w:p w:rsidR="002E1604" w:rsidRPr="002E1604" w:rsidRDefault="002E1604" w:rsidP="002E16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>Цель игры: развитие мелкой моторики, как средства повышения уровня речевого развития детей дошкольного возраста.</w:t>
      </w:r>
    </w:p>
    <w:p w:rsidR="002E1604" w:rsidRPr="002E1604" w:rsidRDefault="002E1604" w:rsidP="002E16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>Задачи:</w:t>
      </w:r>
    </w:p>
    <w:p w:rsidR="002E1604" w:rsidRPr="002E1604" w:rsidRDefault="002E1604" w:rsidP="002E16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>Воспитательные: воспитывать любознательность, нравственно-волевые качества: целеустремленность, сосредоточенность, усидчивость, настойчивость, умение доводить дело до конца. Способность продуктивно участвовать в совместной деятельности. Формировать умения соблюдать в процессе игры правила культурного поведения.</w:t>
      </w:r>
    </w:p>
    <w:p w:rsidR="002E1604" w:rsidRPr="002E1604" w:rsidRDefault="002E1604" w:rsidP="002E16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>Развивающие: развивать мелкую моторику, память, внимания творческие способности, формировать активность психических процессов, активизировать словарный запас, развитие связной диалогической речи, развитие зрительно-моторной пространственной координации, активизации речи, стимуляции, работы всех отделов мозга, укрепления межполушарного взаимодействия, активизации навыков концентрации внимания, тренировки панорамного зрения, и активизации речи.</w:t>
      </w:r>
    </w:p>
    <w:p w:rsidR="002E1604" w:rsidRPr="00F60DFE" w:rsidRDefault="002E1604" w:rsidP="00272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 xml:space="preserve">Образовательные: обучение русскоязычных детей татарскому языку посредством игровой деятельности. Использование в речи слов, выражающих движения; увеличение словарного запаса, формирование речевых навыков; </w:t>
      </w:r>
      <w:r w:rsidRPr="002E1604">
        <w:rPr>
          <w:rFonts w:ascii="Times New Roman" w:hAnsi="Times New Roman" w:cs="Times New Roman"/>
          <w:sz w:val="28"/>
          <w:szCs w:val="28"/>
        </w:rPr>
        <w:lastRenderedPageBreak/>
        <w:t>формирование умения строить небольшие диалоги. Формирование навыков осознанного ответа на простые вопросы, обращения, общения в повседневной жизни; воспитание у детей памяти, внимания, умения самостоятельно выполнять задания, умения вежливо общаться с детьми и взрослыми на татарском языке.</w:t>
      </w:r>
    </w:p>
    <w:p w:rsidR="00272160" w:rsidRPr="002E1604" w:rsidRDefault="00272160" w:rsidP="00272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>Игры с участием рук и пальцев приводят в гармоничное взаимодействие тело и разум, поддерживают мозговые системы в превосходном состоянии, подтверждая связь тонкой моторики с развитием мозга. Чем лучше развита способность двигаться, тем больше потенциал к обучению и развитию речи.</w:t>
      </w:r>
    </w:p>
    <w:p w:rsidR="00272160" w:rsidRPr="002E1604" w:rsidRDefault="00272160" w:rsidP="00272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 xml:space="preserve">Воспитатель, учитывая возрастные особенности детей, может усложнять или облегчать дидактические игры. С этой целью мы разработали сборник дидактических игр с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нейротренажерами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для обучения татарскому языку. Данный сборник включает в себя игры, направленные на активизацию разговорной речи, изучение новых слов, повторение и закрепление пройденных тем на занятиях, развитие интереса к татарскому языку. Игра получилась интересной, увлекательной, с красочными рисунками. Ребенок играет, а мы в процессе игры добиваемся поставленной цели. </w:t>
      </w:r>
    </w:p>
    <w:p w:rsidR="00F60DFE" w:rsidRDefault="002E1604" w:rsidP="00F60DF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>Вашему вниманию предоставлены примеры игр</w:t>
      </w:r>
    </w:p>
    <w:p w:rsidR="00F60DFE" w:rsidRDefault="002E1604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>.</w:t>
      </w:r>
      <w:r w:rsidRPr="002E1604">
        <w:rPr>
          <w:rFonts w:eastAsia="+mj-ea"/>
          <w:b/>
          <w:bCs/>
          <w:color w:val="000000"/>
          <w:kern w:val="24"/>
          <w:sz w:val="28"/>
          <w:szCs w:val="28"/>
        </w:rPr>
        <w:t xml:space="preserve"> </w:t>
      </w:r>
      <w:r w:rsidRPr="002E160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60DFE" w:rsidRDefault="00F60DFE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2E1604" w:rsidP="00F60D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604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«Большой - маленький»</w:t>
      </w:r>
    </w:p>
    <w:p w:rsidR="00F60DFE" w:rsidRDefault="002E1604" w:rsidP="00F60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  <w:t xml:space="preserve">        Цель</w:t>
      </w:r>
      <w:r w:rsidRPr="002E1604">
        <w:rPr>
          <w:rFonts w:ascii="Times New Roman" w:hAnsi="Times New Roman" w:cs="Times New Roman"/>
          <w:sz w:val="28"/>
          <w:szCs w:val="28"/>
        </w:rPr>
        <w:t>: формирование интереса к татарскому языку; обогащение словарного запаса детей; повторение и закрепление пройденного материала; совершенствование грамматического строя речи. Укрепление координации рук и мелкой моторики. Развитие памяти и способности мыслить. Активизация речи, навыков концентрации внимания; стимуляция работы всех отделов мозга, укрепления межполушарного взаимодействия; тренировки панорамного зрения; формирование активности психических процессов.</w:t>
      </w:r>
    </w:p>
    <w:p w:rsidR="002E1604" w:rsidRDefault="002E1604" w:rsidP="00F60DF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 xml:space="preserve">Ход игры. Дети называют предметы, которые они видят на рисунке, проводя пальцами обеих рук от одной картинки к </w:t>
      </w:r>
      <w:proofErr w:type="spellStart"/>
      <w:proofErr w:type="gramStart"/>
      <w:r w:rsidRPr="002E1604">
        <w:rPr>
          <w:rFonts w:ascii="Times New Roman" w:hAnsi="Times New Roman" w:cs="Times New Roman"/>
          <w:sz w:val="28"/>
          <w:szCs w:val="28"/>
        </w:rPr>
        <w:t>другой.Речевой</w:t>
      </w:r>
      <w:proofErr w:type="spellEnd"/>
      <w:proofErr w:type="gramEnd"/>
      <w:r w:rsidRPr="002E1604">
        <w:rPr>
          <w:rFonts w:ascii="Times New Roman" w:hAnsi="Times New Roman" w:cs="Times New Roman"/>
          <w:sz w:val="28"/>
          <w:szCs w:val="28"/>
        </w:rPr>
        <w:t xml:space="preserve"> образец: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кечкенә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кечкенә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туп. Туп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туп. Туп кечкенә». 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кечкенә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 w:rsidRPr="002E1604">
        <w:rPr>
          <w:rFonts w:ascii="Times New Roman" w:hAnsi="Times New Roman" w:cs="Times New Roman"/>
          <w:sz w:val="28"/>
          <w:szCs w:val="28"/>
        </w:rPr>
        <w:t>т.д..</w:t>
      </w:r>
      <w:proofErr w:type="gramEnd"/>
    </w:p>
    <w:p w:rsidR="00F60DFE" w:rsidRDefault="00F60DFE" w:rsidP="00272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DFE" w:rsidRDefault="00F60DFE" w:rsidP="00272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DFE" w:rsidRDefault="00F60DFE" w:rsidP="00272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339568" wp14:editId="525CCAF5">
            <wp:extent cx="5684520" cy="4263390"/>
            <wp:effectExtent l="0" t="0" r="0" b="0"/>
            <wp:docPr id="4098" name="Picture 2" descr="C:\Users\user\Downloads\165520724856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user\Downloads\1655207248565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71" cy="4263578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F60DFE" w:rsidRDefault="00F60DFE" w:rsidP="00272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DFE" w:rsidRDefault="00F60DFE" w:rsidP="00272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DFE" w:rsidRPr="002E1604" w:rsidRDefault="00F60DFE" w:rsidP="00272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DFE" w:rsidRDefault="00F60DFE" w:rsidP="00F60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DFE" w:rsidRDefault="00F60DFE" w:rsidP="00F60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DFE" w:rsidRPr="00F60DFE" w:rsidRDefault="00272160" w:rsidP="00F60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игра «Чиста - </w:t>
      </w:r>
      <w:proofErr w:type="spellStart"/>
      <w:r w:rsidRPr="00F60DFE">
        <w:rPr>
          <w:rFonts w:ascii="Times New Roman" w:hAnsi="Times New Roman" w:cs="Times New Roman"/>
          <w:b/>
          <w:sz w:val="28"/>
          <w:szCs w:val="28"/>
        </w:rPr>
        <w:t>пычрак</w:t>
      </w:r>
      <w:proofErr w:type="spellEnd"/>
      <w:r w:rsidRPr="00F60DFE">
        <w:rPr>
          <w:rFonts w:ascii="Times New Roman" w:hAnsi="Times New Roman" w:cs="Times New Roman"/>
          <w:b/>
          <w:sz w:val="28"/>
          <w:szCs w:val="28"/>
        </w:rPr>
        <w:t>»</w:t>
      </w:r>
    </w:p>
    <w:p w:rsidR="00F60DFE" w:rsidRDefault="00272160" w:rsidP="0027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DFE">
        <w:rPr>
          <w:rFonts w:ascii="Times New Roman" w:hAnsi="Times New Roman" w:cs="Times New Roman"/>
          <w:b/>
          <w:sz w:val="28"/>
          <w:szCs w:val="28"/>
        </w:rPr>
        <w:t>Цель:</w:t>
      </w:r>
      <w:r w:rsidRPr="002E1604">
        <w:rPr>
          <w:rFonts w:ascii="Times New Roman" w:hAnsi="Times New Roman" w:cs="Times New Roman"/>
          <w:sz w:val="28"/>
          <w:szCs w:val="28"/>
        </w:rPr>
        <w:t xml:space="preserve"> формирование интереса к татарскому языку; обогащение словарного запаса детей; повторение и закрепление пройденного материала; совершенствование грамматического строя речи. Укрепление координации рук и мелкой моторики. Развитие памяти и способности мыслить. Активизация речи, навыков концентрации внимания; стимуляция работы всех отделов мозга, укрепления межполушарного взаимодействия; тренировки панорамного зрения; формирование активности психических процессов.</w:t>
      </w:r>
    </w:p>
    <w:p w:rsidR="00F60DFE" w:rsidRDefault="00272160" w:rsidP="00F60D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>Вариант 1.</w:t>
      </w:r>
    </w:p>
    <w:p w:rsidR="00F60DFE" w:rsidRDefault="00272160" w:rsidP="00F60D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 xml:space="preserve">Ход игры. Дети называют предметы, которые они видят на рисунке, проводя пальцами обеих рук от одной картинки к </w:t>
      </w:r>
      <w:proofErr w:type="spellStart"/>
      <w:proofErr w:type="gramStart"/>
      <w:r w:rsidRPr="002E1604">
        <w:rPr>
          <w:rFonts w:ascii="Times New Roman" w:hAnsi="Times New Roman" w:cs="Times New Roman"/>
          <w:sz w:val="28"/>
          <w:szCs w:val="28"/>
        </w:rPr>
        <w:t>другой.Речевой</w:t>
      </w:r>
      <w:proofErr w:type="spellEnd"/>
      <w:proofErr w:type="gramEnd"/>
      <w:r w:rsidRPr="002E1604">
        <w:rPr>
          <w:rFonts w:ascii="Times New Roman" w:hAnsi="Times New Roman" w:cs="Times New Roman"/>
          <w:sz w:val="28"/>
          <w:szCs w:val="28"/>
        </w:rPr>
        <w:t xml:space="preserve"> образец: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туп. Туп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пычрак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туп. Туп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>, чиста».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, чиста.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пычрак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>». 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пычрак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>, чиста».</w:t>
      </w:r>
    </w:p>
    <w:p w:rsidR="00F60DFE" w:rsidRDefault="00272160" w:rsidP="00F60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>Вариант 2.</w:t>
      </w:r>
    </w:p>
    <w:p w:rsidR="00272160" w:rsidRDefault="00272160" w:rsidP="0027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 xml:space="preserve"> Ход игры. Дети называют предметы, которые они видят на рисунке, проводя пальцами обеих рук от одной картинки к </w:t>
      </w:r>
      <w:proofErr w:type="spellStart"/>
      <w:proofErr w:type="gramStart"/>
      <w:r w:rsidRPr="002E1604">
        <w:rPr>
          <w:rFonts w:ascii="Times New Roman" w:hAnsi="Times New Roman" w:cs="Times New Roman"/>
          <w:sz w:val="28"/>
          <w:szCs w:val="28"/>
        </w:rPr>
        <w:t>другой.Речевой</w:t>
      </w:r>
      <w:proofErr w:type="spellEnd"/>
      <w:proofErr w:type="gramEnd"/>
      <w:r w:rsidRPr="002E1604">
        <w:rPr>
          <w:rFonts w:ascii="Times New Roman" w:hAnsi="Times New Roman" w:cs="Times New Roman"/>
          <w:sz w:val="28"/>
          <w:szCs w:val="28"/>
        </w:rPr>
        <w:t xml:space="preserve"> образец: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, чиста.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пычрак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пычрак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>, чиста».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, чиста.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пычрак</w:t>
      </w:r>
      <w:proofErr w:type="spellEnd"/>
      <w:proofErr w:type="gramStart"/>
      <w:r w:rsidRPr="002E1604">
        <w:rPr>
          <w:rFonts w:ascii="Times New Roman" w:hAnsi="Times New Roman" w:cs="Times New Roman"/>
          <w:sz w:val="28"/>
          <w:szCs w:val="28"/>
        </w:rPr>
        <w:t>».«</w:t>
      </w:r>
      <w:proofErr w:type="spellStart"/>
      <w:proofErr w:type="gramEnd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, чиста.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пычрак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машина. Машина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, чиста.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машина. Машина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пычрак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пычрак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>, чиста». «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туп. Туп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, чиста.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туп. Туп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пычрак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60DFE" w:rsidRPr="002E1604" w:rsidRDefault="00F60DFE" w:rsidP="0027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2EC7A0" wp14:editId="2F58B218">
            <wp:extent cx="5562600" cy="4171950"/>
            <wp:effectExtent l="0" t="0" r="0" b="0"/>
            <wp:docPr id="1026" name="Picture 2" descr="C:\Users\user\Downloads\1655207248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ownloads\1655207248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38" cy="4172879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F60DFE" w:rsidRDefault="00F60DFE" w:rsidP="00272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272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272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272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272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0DFE" w:rsidRDefault="00F60DFE" w:rsidP="00272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2BEF" w:rsidRPr="002E1604" w:rsidRDefault="00272160" w:rsidP="00F60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Дидактическая игра «Пригласи в дом»</w:t>
      </w:r>
    </w:p>
    <w:p w:rsidR="00332BEF" w:rsidRPr="002E1604" w:rsidRDefault="00272160" w:rsidP="00F60D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DFE">
        <w:rPr>
          <w:rFonts w:ascii="Times New Roman" w:hAnsi="Times New Roman" w:cs="Times New Roman"/>
          <w:b/>
          <w:sz w:val="28"/>
          <w:szCs w:val="28"/>
        </w:rPr>
        <w:t>Цель:</w:t>
      </w:r>
      <w:r w:rsidRPr="002E1604">
        <w:rPr>
          <w:rFonts w:ascii="Times New Roman" w:hAnsi="Times New Roman" w:cs="Times New Roman"/>
          <w:sz w:val="28"/>
          <w:szCs w:val="28"/>
        </w:rPr>
        <w:t xml:space="preserve"> формирование интереса к татарскому языку; обогащение словарного запаса детей; повторение и закрепление пройденного материала; совершенствование грамматического строя речи. Укрепление координации рук и мелкой моторики. Развитие памяти и способности мыслить. Активизация речи, навыков концентрации внимания; стимуляция работы всех отделов мозга, укрепления межполушарного взаимодействия; тренировки панорамного зрения; формирование активности психических </w:t>
      </w:r>
      <w:proofErr w:type="spellStart"/>
      <w:proofErr w:type="gramStart"/>
      <w:r w:rsidRPr="002E1604">
        <w:rPr>
          <w:rFonts w:ascii="Times New Roman" w:hAnsi="Times New Roman" w:cs="Times New Roman"/>
          <w:sz w:val="28"/>
          <w:szCs w:val="28"/>
        </w:rPr>
        <w:t>процессов.Ход</w:t>
      </w:r>
      <w:proofErr w:type="spellEnd"/>
      <w:proofErr w:type="gramEnd"/>
      <w:r w:rsidRPr="002E1604">
        <w:rPr>
          <w:rFonts w:ascii="Times New Roman" w:hAnsi="Times New Roman" w:cs="Times New Roman"/>
          <w:sz w:val="28"/>
          <w:szCs w:val="28"/>
        </w:rPr>
        <w:t xml:space="preserve"> игры. Дети называют предметы, которые они видят на рисунке,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проводяпальцами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обеих рук от одной картинки к другой, приглашая в дом. </w:t>
      </w:r>
    </w:p>
    <w:p w:rsidR="002E1604" w:rsidRPr="002E1604" w:rsidRDefault="002E1604" w:rsidP="0027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604" w:rsidRDefault="002E1604" w:rsidP="00F60DF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604">
        <w:rPr>
          <w:rFonts w:ascii="Times New Roman" w:hAnsi="Times New Roman" w:cs="Times New Roman"/>
          <w:sz w:val="28"/>
          <w:szCs w:val="28"/>
        </w:rPr>
        <w:t xml:space="preserve">Игры с </w:t>
      </w:r>
      <w:proofErr w:type="spellStart"/>
      <w:r w:rsidRPr="002E1604">
        <w:rPr>
          <w:rFonts w:ascii="Times New Roman" w:hAnsi="Times New Roman" w:cs="Times New Roman"/>
          <w:sz w:val="28"/>
          <w:szCs w:val="28"/>
        </w:rPr>
        <w:t>нейротренажерами</w:t>
      </w:r>
      <w:proofErr w:type="spellEnd"/>
      <w:r w:rsidRPr="002E1604">
        <w:rPr>
          <w:rFonts w:ascii="Times New Roman" w:hAnsi="Times New Roman" w:cs="Times New Roman"/>
          <w:sz w:val="28"/>
          <w:szCs w:val="28"/>
        </w:rPr>
        <w:t xml:space="preserve"> воспитатели могут использовать как в процессе занятий, так и в индивидуальной работе, а также в режимных моментах.</w:t>
      </w:r>
    </w:p>
    <w:p w:rsidR="00F60DFE" w:rsidRPr="002E1604" w:rsidRDefault="00F60DFE" w:rsidP="00F60DF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B462C5" wp14:editId="0C4D7D3C">
            <wp:extent cx="5293360" cy="3970020"/>
            <wp:effectExtent l="0" t="0" r="0" b="0"/>
            <wp:docPr id="2050" name="Picture 2" descr="C:\Users\user\Downloads\1655207248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ownloads\16552072485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60" cy="3970020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2E1604" w:rsidRPr="002E1604" w:rsidRDefault="002E1604" w:rsidP="0027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60" w:rsidRPr="002E1604" w:rsidRDefault="00272160" w:rsidP="00272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2160" w:rsidRPr="002E1604" w:rsidSect="00272160">
      <w:pgSz w:w="11906" w:h="16838"/>
      <w:pgMar w:top="737" w:right="851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1E7D"/>
    <w:multiLevelType w:val="hybridMultilevel"/>
    <w:tmpl w:val="A3A80F08"/>
    <w:lvl w:ilvl="0" w:tplc="221CD2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5848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F6D5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3ACE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3EE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A2C0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3456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9E1A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E0F1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964708B"/>
    <w:multiLevelType w:val="hybridMultilevel"/>
    <w:tmpl w:val="A43AB0BA"/>
    <w:lvl w:ilvl="0" w:tplc="5DD085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C216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B40E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8825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540D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A0A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7298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822D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A85F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60"/>
    <w:rsid w:val="00272160"/>
    <w:rsid w:val="002E1604"/>
    <w:rsid w:val="00332BEF"/>
    <w:rsid w:val="007F6F61"/>
    <w:rsid w:val="009C32DF"/>
    <w:rsid w:val="00F13A52"/>
    <w:rsid w:val="00F6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539E"/>
  <w15:docId w15:val="{AF0C3349-FC5B-4E46-BCD9-425BA422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7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03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56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1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сад5</cp:lastModifiedBy>
  <cp:revision>2</cp:revision>
  <cp:lastPrinted>2022-06-14T18:24:00Z</cp:lastPrinted>
  <dcterms:created xsi:type="dcterms:W3CDTF">2022-11-10T10:24:00Z</dcterms:created>
  <dcterms:modified xsi:type="dcterms:W3CDTF">2022-11-10T10:24:00Z</dcterms:modified>
</cp:coreProperties>
</file>