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ind w:firstLine="709"/>
        <w:jc w:val="center"/>
        <w:spacing w:line="240" w:lineRule="auto"/>
        <w:rPr>
          <w:rFonts w:ascii="Times New Roman" w:eastAsia="Calibri" w:hAnsi="Times New Roman" w:cs="Times New Roman"/>
          <w:b/>
          <w:sz w:val="32"/>
          <w:szCs w:val="28"/>
        </w:rPr>
      </w:pPr>
      <w:r>
        <w:rPr>
          <w:rFonts w:ascii="Times New Roman" w:eastAsia="Calibri" w:hAnsi="Times New Roman" w:cs="Times New Roman"/>
          <w:b/>
          <w:sz w:val="32"/>
          <w:szCs w:val="28"/>
        </w:rPr>
        <w:t>Технологическая карта урока.</w:t>
      </w:r>
    </w:p>
    <w:p>
      <w:pPr>
        <w:ind w:firstLine="709"/>
        <w:jc w:val="both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Тема: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Умножение одночлена на многочлен.</w:t>
      </w:r>
    </w:p>
    <w:p>
      <w:pPr>
        <w:ind w:firstLine="709"/>
        <w:jc w:val="both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Класс:</w:t>
      </w:r>
      <w:r>
        <w:rPr>
          <w:rFonts w:ascii="Times New Roman" w:eastAsia="Calibri" w:hAnsi="Times New Roman" w:cs="Times New Roman"/>
          <w:sz w:val="28"/>
          <w:szCs w:val="28"/>
        </w:rPr>
        <w:t xml:space="preserve"> 7 г</w:t>
      </w:r>
    </w:p>
    <w:p>
      <w:pPr>
        <w:ind w:firstLine="709"/>
        <w:jc w:val="both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Предмет</w:t>
      </w:r>
      <w:r>
        <w:rPr>
          <w:rFonts w:ascii="Times New Roman" w:eastAsia="Calibri" w:hAnsi="Times New Roman" w:cs="Times New Roman"/>
          <w:sz w:val="28"/>
          <w:szCs w:val="28"/>
        </w:rPr>
        <w:t>: алгебра</w:t>
      </w:r>
    </w:p>
    <w:p>
      <w:pPr>
        <w:ind w:firstLine="709"/>
        <w:jc w:val="both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Дата: </w:t>
      </w:r>
      <w:r>
        <w:rPr>
          <w:rFonts w:ascii="Times New Roman" w:eastAsia="Calibri" w:hAnsi="Times New Roman" w:cs="Times New Roman"/>
          <w:sz w:val="28"/>
          <w:szCs w:val="28"/>
        </w:rPr>
        <w:t>11.02.2022</w:t>
      </w:r>
    </w:p>
    <w:p>
      <w:pPr>
        <w:ind w:firstLine="709"/>
        <w:jc w:val="both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УМК (авторы):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Алгебра. 7 : учеб. для общеобразоват. организаций / А45 [Г. В. Дорофеев и др.]. </w:t>
      </w:r>
    </w:p>
    <w:p>
      <w:pPr>
        <w:ind w:firstLine="709"/>
        <w:jc w:val="both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Тип урока: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Изучение и первичное закрепление новых знаний и способов действий.</w:t>
      </w:r>
    </w:p>
    <w:p>
      <w:pPr>
        <w:ind w:firstLine="709"/>
        <w:jc w:val="both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Планируемые результаты: </w:t>
      </w:r>
    </w:p>
    <w:p>
      <w:pPr>
        <w:ind w:firstLine="709"/>
        <w:jc w:val="both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научиться умножать одночлен на многочлен; </w:t>
      </w:r>
    </w:p>
    <w:p>
      <w:pPr>
        <w:ind w:firstLine="709"/>
        <w:jc w:val="both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-овладеть знаниями и умениями, необходимыми для правильного раскрытия скобок.</w:t>
      </w:r>
    </w:p>
    <w:p>
      <w:pPr>
        <w:ind w:firstLine="709"/>
        <w:jc w:val="both"/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Предметные (знания, умения, представления): </w:t>
      </w:r>
    </w:p>
    <w:p>
      <w:pPr>
        <w:ind w:firstLine="709"/>
        <w:jc w:val="both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умножать одночлен на многочлен;</w:t>
      </w:r>
    </w:p>
    <w:p>
      <w:pPr>
        <w:ind w:firstLine="709"/>
        <w:jc w:val="both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применять распределительное свойство.</w:t>
      </w:r>
    </w:p>
    <w:p>
      <w:pPr>
        <w:ind w:firstLine="709"/>
        <w:jc w:val="both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Метапредметные </w:t>
      </w:r>
      <w:r>
        <w:rPr>
          <w:rFonts w:ascii="Times New Roman" w:eastAsia="Calibri" w:hAnsi="Times New Roman" w:cs="Times New Roman"/>
          <w:sz w:val="28"/>
          <w:szCs w:val="28"/>
        </w:rPr>
        <w:t>(познавательные, регулятивные, коммуникативные УУД):</w:t>
      </w:r>
    </w:p>
    <w:p>
      <w:pPr>
        <w:ind w:firstLine="709"/>
        <w:jc w:val="both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умение проводить несложные доказательные рассуждения;</w:t>
      </w:r>
    </w:p>
    <w:p>
      <w:pPr>
        <w:ind w:firstLine="709"/>
        <w:jc w:val="both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умение действовать в соответствии с предложенным алгоритмом;</w:t>
      </w:r>
    </w:p>
    <w:p>
      <w:pPr>
        <w:ind w:firstLine="709"/>
        <w:jc w:val="both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применение приёмов самоконтроля при выполнении заданий.</w:t>
      </w:r>
    </w:p>
    <w:p>
      <w:pPr>
        <w:ind w:firstLine="709"/>
        <w:jc w:val="both"/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Личностные УУД: </w:t>
      </w:r>
    </w:p>
    <w:p>
      <w:pPr>
        <w:ind w:firstLine="709"/>
        <w:jc w:val="both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умение оценивать работу одноклассников;</w:t>
      </w:r>
    </w:p>
    <w:p>
      <w:pPr>
        <w:ind w:firstLine="709"/>
        <w:jc w:val="both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способность к объективному самооцениванию.</w:t>
      </w:r>
    </w:p>
    <w:p>
      <w:pPr>
        <w:ind w:firstLine="709"/>
        <w:jc w:val="both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Образовательная цель: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знать, как умножить одночлен на многочлен; уметь использовать распределительное свойство умножения в решении уравнений.</w:t>
      </w:r>
    </w:p>
    <w:p>
      <w:pPr>
        <w:ind w:firstLine="709"/>
        <w:jc w:val="both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Развивающая цель: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уметь обрабатывать информацию; рефлексия способов и условий действия, контроль и оценка процесса и результатов своей деятельности и деятельности своего товарища.</w:t>
      </w:r>
    </w:p>
    <w:p>
      <w:pPr>
        <w:ind w:firstLine="709"/>
        <w:jc w:val="both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Воспитательная цель: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уметь слушать одноклассников, владеть навыками совместной деятельности, уметь распределять работу в группе, формировать коммуникативную компетенцию учащихся; воспитывать ответственность и аккуратность.</w:t>
      </w:r>
    </w:p>
    <w:p>
      <w:pPr>
        <w:ind w:firstLine="709"/>
        <w:jc w:val="both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Педагогические технологии (педагогические техники):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Проблемный диалог, критическое мышление, системно-деятельностный подход.</w:t>
      </w:r>
    </w:p>
    <w:p>
      <w:pPr>
        <w:ind w:firstLine="709"/>
        <w:jc w:val="both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Методы обучения: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Постановка проблемы; беседа; работа в паре; индивидуальная работа.</w:t>
      </w:r>
    </w:p>
    <w:p>
      <w:pPr>
        <w:ind w:firstLine="709"/>
        <w:jc w:val="both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Средства обучения: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Карточка для самостоятельной работы, презентация </w:t>
      </w:r>
      <w:r>
        <w:rPr>
          <w:lang w:val="en-US"/>
          <w:rFonts w:ascii="Times New Roman" w:eastAsia="Calibri" w:hAnsi="Times New Roman" w:cs="Times New Roman"/>
          <w:sz w:val="28"/>
          <w:szCs w:val="28"/>
        </w:rPr>
        <w:t>Power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lang w:val="en-US"/>
          <w:rFonts w:ascii="Times New Roman" w:eastAsia="Calibri" w:hAnsi="Times New Roman" w:cs="Times New Roman"/>
          <w:sz w:val="28"/>
          <w:szCs w:val="28"/>
        </w:rPr>
        <w:t>Point</w:t>
      </w:r>
      <w:r>
        <w:rPr>
          <w:rFonts w:ascii="Times New Roman" w:eastAsia="Calibri" w:hAnsi="Times New Roman" w:cs="Times New Roman"/>
          <w:sz w:val="28"/>
          <w:szCs w:val="28"/>
        </w:rPr>
        <w:t>, наглядность.</w:t>
      </w:r>
    </w:p>
    <w:p>
      <w:pPr>
        <w:ind w:firstLine="709"/>
        <w:jc w:val="both"/>
        <w:spacing w:after="0" w:line="240" w:lineRule="auto"/>
        <w:rPr>
          <w:rFonts w:ascii="Times New Roman" w:eastAsia="Calibri" w:hAnsi="Times New Roman" w:cs="Times New Roman"/>
          <w:sz w:val="28"/>
          <w:szCs w:val="28"/>
          <w:rtl w:val="off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Формы организации познавательной деятельности: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Фронтальная, индивидуальная, парная.</w:t>
      </w:r>
    </w:p>
    <w:p>
      <w:pPr>
        <w:ind w:firstLine="709"/>
        <w:jc w:val="both"/>
        <w:spacing w:after="0" w:line="240" w:lineRule="auto"/>
        <w:rPr>
          <w:rFonts w:ascii="Times New Roman" w:eastAsia="Calibri" w:hAnsi="Times New Roman" w:cs="Times New Roman"/>
          <w:sz w:val="28"/>
          <w:szCs w:val="28"/>
          <w:rtl w:val="off"/>
        </w:rPr>
      </w:pPr>
    </w:p>
    <w:p>
      <w:pPr>
        <w:ind w:firstLine="709"/>
        <w:jc w:val="both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>
      <w:pPr>
        <w:rPr>
          <w:rFonts w:ascii="Times New Roman" w:eastAsia="Calibri" w:hAnsi="Times New Roman" w:cs="Times New Roman"/>
          <w:sz w:val="28"/>
          <w:szCs w:val="28"/>
        </w:rPr>
      </w:pPr>
    </w:p>
    <w:p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36"/>
          <w:szCs w:val="28"/>
        </w:rPr>
        <w:t>Конспект урока</w:t>
      </w:r>
    </w:p>
    <w:tbl>
      <w:tblPr>
        <w:tblStyle w:val="afffff5"/>
        <w:tblW w:w="0" w:type="auto"/>
        <w:tblInd w:w="-1035" w:type="dxa"/>
        <w:tblLook w:val="04A0" w:firstRow="1" w:lastRow="0" w:firstColumn="1" w:lastColumn="0" w:noHBand="0" w:noVBand="1"/>
      </w:tblPr>
      <w:tblGrid>
        <w:gridCol w:w="5529"/>
        <w:gridCol w:w="4851"/>
      </w:tblGrid>
      <w:tr>
        <w:tc>
          <w:tcPr>
            <w:tcW w:w="5809" w:type="dxa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5051" w:type="dxa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</w:tr>
      <w:tr>
        <w:tc>
          <w:tcPr>
            <w:tcW w:w="108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этап</w:t>
            </w:r>
          </w:p>
        </w:tc>
      </w:tr>
      <w:tr>
        <w:tc>
          <w:tcPr>
            <w:tcW w:w="5809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Здравствуйте, ребята!</w:t>
            </w:r>
          </w:p>
        </w:tc>
        <w:tc>
          <w:tcPr>
            <w:tcW w:w="5051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Приветствуют учителя</w:t>
            </w:r>
          </w:p>
        </w:tc>
      </w:tr>
      <w:tr>
        <w:tc>
          <w:tcPr>
            <w:tcW w:w="108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Постановка цели урока</w:t>
            </w:r>
          </w:p>
        </w:tc>
      </w:tr>
      <w:tr>
        <w:tc>
          <w:tcPr>
            <w:tcW w:w="5809" w:type="dxa"/>
          </w:tcPr>
          <w:p>
            <w:pPr>
              <w:jc w:val="both"/>
              <w:rPr>
                <w:rFonts w:ascii="Times New Roman" w:eastAsia="Times New Roman" w:hAnsi="Times New Roman" w:cs="Roboto"/>
                <w:sz w:val="28"/>
              </w:rPr>
            </w:pPr>
            <w:r>
              <w:rPr>
                <w:rFonts w:ascii="Times New Roman" w:eastAsia="Times New Roman" w:hAnsi="Times New Roman" w:cs="Roboto"/>
                <w:b/>
                <w:bCs/>
                <w:sz w:val="28"/>
              </w:rPr>
              <w:t>(Слайд 1)</w:t>
            </w:r>
          </w:p>
          <w:p>
            <w:pPr>
              <w:jc w:val="both"/>
              <w:rPr>
                <w:rFonts w:ascii="Times New Roman" w:eastAsia="Times New Roman" w:hAnsi="Times New Roman" w:cs="Roboto"/>
                <w:sz w:val="28"/>
              </w:rPr>
            </w:pPr>
            <w:r>
              <w:rPr>
                <w:rFonts w:ascii="Times New Roman" w:eastAsia="Times New Roman" w:hAnsi="Times New Roman" w:cs="Roboto"/>
                <w:sz w:val="28"/>
              </w:rPr>
              <w:t>Наступивший 2022 год будет посвящен культурному наследию народов России. Об этом говорится в </w:t>
            </w:r>
            <w:r>
              <w:rPr>
                <w:rFonts w:ascii="Times New Roman" w:eastAsia="Times New Roman" w:hAnsi="Times New Roman" w:cs="Roboto"/>
                <w:sz w:val="28"/>
              </w:rPr>
              <w:fldChar w:fldCharType="begin"/>
            </w:r>
            <w:r>
              <w:rPr>
                <w:rFonts w:ascii="Times New Roman" w:eastAsia="Times New Roman" w:hAnsi="Times New Roman" w:cs="Roboto"/>
                <w:sz w:val="28"/>
              </w:rPr>
              <w:instrText xml:space="preserve"> HYPERLINK "http://publication.pravo.gov.ru/Document/View/0001202112310115" </w:instrText>
            </w:r>
            <w:r>
              <w:rPr>
                <w:rFonts w:ascii="Times New Roman" w:eastAsia="Times New Roman" w:hAnsi="Times New Roman" w:cs="Roboto"/>
                <w:sz w:val="28"/>
              </w:rPr>
              <w:fldChar w:fldCharType="separate"/>
            </w:r>
            <w:r>
              <w:rPr>
                <w:rFonts w:ascii="Times New Roman" w:eastAsia="Times New Roman" w:hAnsi="Times New Roman" w:cs="Roboto"/>
                <w:sz w:val="28"/>
              </w:rPr>
              <w:t xml:space="preserve"> Указе, который подписал Президент страны Владимир Путин</w:t>
            </w:r>
            <w:r>
              <w:rPr>
                <w:rFonts w:ascii="Times New Roman" w:eastAsia="Times New Roman" w:hAnsi="Times New Roman" w:cs="Roboto"/>
                <w:sz w:val="28"/>
              </w:rPr>
              <w:fldChar w:fldCharType="end"/>
            </w:r>
            <w:r>
              <w:rPr>
                <w:rFonts w:ascii="Times New Roman" w:eastAsia="Times New Roman" w:hAnsi="Times New Roman" w:cs="Roboto"/>
                <w:sz w:val="28"/>
              </w:rPr>
              <w:t>. Документ опубликован на портале правовой информации.</w:t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Сегодня у нас в школе открытие Года культурного наследия народов России. </w:t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 с вами постараемся связать алгебру с культурным наследием России. </w:t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Вспомните какую главу мы начали изучать?</w:t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действия вы уже можете выполнять с многочленами?</w:t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вы думаете какая тема сегодняшнего урока? </w:t>
            </w:r>
          </w:p>
          <w:p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(Слайд 2)</w:t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откройте тетради и запишите дату, классная работа и тему урока.</w:t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 сегодня рассмотрим исторические памятки России. </w:t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(Слайд 3)</w:t>
            </w:r>
          </w:p>
          <w:p>
            <w:pPr>
              <w:jc w:val="both"/>
              <w:rPr>
                <w:rFonts w:ascii="Times New Roman" w:eastAsia="Times New Roman" w:hAnsi="Times New Roman" w:cs="GraphikCy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GraphikCy"/>
                <w:sz w:val="28"/>
                <w:szCs w:val="28"/>
              </w:rPr>
              <w:t>Ежегодно ЮНЕСКО (Организация Объединенных Наций по вопросам образования, науки и культуры) пополняет список всемирного наследия. В него входят как природные уникальные объекты, так и рукотворные памятники, которые имеют историческую и культурную ценность.</w:t>
            </w:r>
            <w:r>
              <w:rPr>
                <w:rFonts w:ascii="GraphikCy" w:eastAsia="GraphikCy" w:hAnsi="GraphikCy" w:cs="GraphikCy"/>
                <w:sz w:val="20"/>
              </w:rPr>
              <w:br/>
            </w:r>
            <w:r>
              <w:rPr>
                <w:rFonts w:ascii="Times New Roman" w:eastAsia="Times New Roman" w:hAnsi="Times New Roman" w:cs="GraphikCy"/>
                <w:b/>
                <w:bCs/>
                <w:sz w:val="28"/>
                <w:szCs w:val="28"/>
              </w:rPr>
              <w:t>(Слайд 4)</w:t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Посмотрите на критерии внесения объектов в список ЮНЕСКО.</w:t>
            </w:r>
          </w:p>
        </w:tc>
        <w:tc>
          <w:tcPr>
            <w:tcW w:w="5051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учителя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Многочлены.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Складывать и вычитать.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Умножение многочленов.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Записывают.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учителя.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Смотрят на слайд. </w:t>
            </w:r>
          </w:p>
        </w:tc>
      </w:tr>
      <w:tr>
        <w:tc>
          <w:tcPr>
            <w:tcW w:w="108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Первичное усвоение новых знаний</w:t>
            </w:r>
          </w:p>
        </w:tc>
      </w:tr>
      <w:tr>
        <w:tc>
          <w:tcPr>
            <w:tcW w:w="5809" w:type="dxa"/>
          </w:tcPr>
          <w:p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Сегодня на уроке мы заполним карточку о исторических объектах России, работая с новой темой. (Каждому раздать карточку)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Откройте учебник на странице 197 и прочитайте правило умножения одночлена на многочлен.</w:t>
            </w:r>
          </w:p>
        </w:tc>
        <w:tc>
          <w:tcPr>
            <w:tcW w:w="5051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учителя.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Читают параграф. 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c>
          <w:tcPr>
            <w:tcW w:w="108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Первичная проверка понимания</w:t>
            </w:r>
          </w:p>
        </w:tc>
      </w:tr>
      <w:tr>
        <w:tc>
          <w:tcPr>
            <w:tcW w:w="5809" w:type="dxa"/>
          </w:tcPr>
          <w:p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Далее мы будем решать примеры на доске и в рабочих тетрадях, которые указаны на слайдах для заполнения пропусков в карточке.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(Слайды 5)</w:t>
            </w:r>
          </w:p>
        </w:tc>
        <w:tc>
          <w:tcPr>
            <w:tcW w:w="5051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Решают примеры на доске и на месте, заполняя пропуски карточки. </w:t>
            </w:r>
          </w:p>
        </w:tc>
      </w:tr>
      <w:tr>
        <w:tc>
          <w:tcPr>
            <w:tcW w:w="108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Физкультминутка</w:t>
            </w:r>
          </w:p>
        </w:tc>
      </w:tr>
      <w:tr>
        <w:tc>
          <w:tcPr>
            <w:tcW w:w="5809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сейчас отдахнём и сделаем упражнения для глаз.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(Слайд 6)</w:t>
            </w:r>
          </w:p>
        </w:tc>
        <w:tc>
          <w:tcPr>
            <w:tcW w:w="5051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физкультминутку.</w:t>
            </w:r>
          </w:p>
        </w:tc>
      </w:tr>
      <w:tr>
        <w:tc>
          <w:tcPr>
            <w:tcW w:w="108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Первичное закрепление</w:t>
            </w:r>
          </w:p>
        </w:tc>
      </w:tr>
      <w:tr>
        <w:tc>
          <w:tcPr>
            <w:tcW w:w="5809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Ребята, предлагаю вам самостоятельно по вариантам сделать такую же работу, после выполнения проверим. Первый вариант заполняет пропуски в первом столбце, а второй вариант заполняет пропуски во втором столбце.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(Слайд 7 -8)</w:t>
            </w:r>
          </w:p>
        </w:tc>
        <w:tc>
          <w:tcPr>
            <w:tcW w:w="5051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работу по вариантам. </w:t>
            </w:r>
          </w:p>
        </w:tc>
      </w:tr>
      <w:tr>
        <w:tc>
          <w:tcPr>
            <w:tcW w:w="108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Информирование о дом.задании</w:t>
            </w:r>
          </w:p>
        </w:tc>
      </w:tr>
      <w:tr>
        <w:tc>
          <w:tcPr>
            <w:tcW w:w="5809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Откройте дневники и запишите дом.работу.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Комментарий по дом.работе.</w:t>
            </w:r>
          </w:p>
          <w:p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(Слайд 9)</w:t>
            </w:r>
          </w:p>
        </w:tc>
        <w:tc>
          <w:tcPr>
            <w:tcW w:w="5051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Записываю дом.задание.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7.3, № 682 (б, д, з), 683 (б д, з).</w:t>
            </w:r>
          </w:p>
        </w:tc>
      </w:tr>
      <w:tr>
        <w:tc>
          <w:tcPr>
            <w:tcW w:w="108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</w:t>
            </w:r>
          </w:p>
        </w:tc>
      </w:tr>
      <w:tr>
        <w:tc>
          <w:tcPr>
            <w:tcW w:w="5809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 вам запомнился этот урок и что вы нового узнали?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спасибо за урок!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(Слайд 10)</w:t>
            </w:r>
          </w:p>
        </w:tc>
        <w:tc>
          <w:tcPr>
            <w:tcW w:w="5051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по одному.</w:t>
            </w:r>
          </w:p>
        </w:tc>
      </w:tr>
    </w:tbl>
    <w:p>
      <w:pPr>
        <w:ind w:firstLine="709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  <w:rtl w:val="off"/>
        </w:rPr>
      </w:pPr>
    </w:p>
    <w:p>
      <w:pPr>
        <w:jc w:val="center"/>
        <w:rPr>
          <w:i/>
          <w:iCs/>
          <w:color w:val="1F497D"/>
          <w:sz w:val="20"/>
          <w:szCs w:val="20"/>
          <w:rtl w:val="off"/>
        </w:rPr>
      </w:pPr>
      <w:r>
        <w:rPr>
          <w:rFonts w:ascii="Times New Roman" w:eastAsia="Times New Roman" w:hAnsi="Times New Roman" w:hint="default"/>
          <w:i/>
          <w:iCs/>
          <w:color w:val="C0504D"/>
          <w:sz w:val="40"/>
          <w:szCs w:val="40"/>
          <w:rtl w:val="off"/>
        </w:rPr>
        <w:t>2022 год культурного наследия народов России</w:t>
      </w:r>
    </w:p>
    <w:tbl>
      <w:tblPr>
        <w:tblStyle w:val="afffff5"/>
        <w:tblInd w:w="-611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ook w:val="04A0" w:firstRow="1" w:lastRow="0" w:firstColumn="1" w:lastColumn="0" w:noHBand="0" w:noVBand="1"/>
        <w:tblLayout w:type="autofit"/>
      </w:tblPr>
      <w:tblGrid>
        <w:gridCol w:w="5341"/>
        <w:gridCol w:w="5341"/>
      </w:tblGrid>
      <w:tr>
        <w:tc>
          <w:tcPr>
            <w:tcW w:w="10682" w:type="dxa"/>
            <w:gridSpan w:val="2"/>
            <w:vAlign w:val="top"/>
          </w:tcPr>
          <w:p>
            <w:pPr>
              <w:jc w:val="both"/>
              <w:spacing w:line="276"/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1F497D"/>
                <w:sz w:val="28"/>
                <w:szCs w:val="28"/>
                <w:rtl w:val="off"/>
              </w:rPr>
            </w:pP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sz w:val="24"/>
                <w:szCs w:val="24"/>
                <w:rtl w:val="off"/>
              </w:rPr>
              <w:t xml:space="preserve">     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1F497D"/>
                <w:sz w:val="28"/>
                <w:szCs w:val="28"/>
                <w:rtl w:val="off"/>
              </w:rPr>
              <w:t xml:space="preserve"> 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1F497D"/>
                <w:sz w:val="28"/>
                <w:szCs w:val="28"/>
              </w:rPr>
              <w:t xml:space="preserve">В списке  Всеми́рного насле́дия   ЮНЕ́СКО   в   Росси́йской Федера́ции   значатся 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1F497D"/>
                <w:sz w:val="28"/>
                <w:szCs w:val="28"/>
                <w:rtl w:val="off"/>
              </w:rPr>
              <w:t>____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1F497D"/>
                <w:sz w:val="28"/>
                <w:szCs w:val="28"/>
              </w:rPr>
              <w:t xml:space="preserve"> наименований, это составляет 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1F497D"/>
                <w:sz w:val="28"/>
                <w:szCs w:val="28"/>
                <w:rtl w:val="off"/>
              </w:rPr>
              <w:t>___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1F497D"/>
                <w:sz w:val="28"/>
                <w:szCs w:val="28"/>
              </w:rPr>
              <w:t>% от общего числа (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1F497D"/>
                <w:sz w:val="28"/>
                <w:szCs w:val="28"/>
                <w:rtl w:val="off"/>
              </w:rPr>
              <w:t>_____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1F497D"/>
                <w:sz w:val="28"/>
                <w:szCs w:val="28"/>
              </w:rPr>
              <w:t xml:space="preserve"> на 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1F497D"/>
                <w:sz w:val="28"/>
                <w:szCs w:val="28"/>
                <w:rtl w:val="off"/>
              </w:rPr>
              <w:t>_____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1F497D"/>
                <w:sz w:val="28"/>
                <w:szCs w:val="28"/>
              </w:rPr>
              <w:t xml:space="preserve"> год). </w:t>
            </w:r>
          </w:p>
          <w:p>
            <w:pPr>
              <w:jc w:val="both"/>
              <w:spacing w:line="276"/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1F497D"/>
                <w:sz w:val="28"/>
                <w:szCs w:val="28"/>
                <w:rtl w:val="off"/>
              </w:rPr>
            </w:pP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1F497D"/>
                <w:sz w:val="28"/>
                <w:szCs w:val="28"/>
                <w:rtl w:val="off"/>
              </w:rPr>
              <w:t xml:space="preserve">    ___ 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1F497D"/>
                <w:sz w:val="28"/>
                <w:szCs w:val="28"/>
              </w:rPr>
              <w:t>объектов включены в список по культурным критериям, причём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1F497D"/>
                <w:sz w:val="28"/>
                <w:szCs w:val="28"/>
                <w:rtl w:val="off"/>
              </w:rPr>
              <w:t xml:space="preserve"> ___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1F497D"/>
                <w:sz w:val="28"/>
                <w:szCs w:val="28"/>
              </w:rPr>
              <w:t xml:space="preserve"> из них признаны шедевром человеческого гения, и 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1F497D"/>
                <w:sz w:val="28"/>
                <w:szCs w:val="28"/>
                <w:rtl w:val="off"/>
              </w:rPr>
              <w:t>___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1F497D"/>
                <w:sz w:val="28"/>
                <w:szCs w:val="28"/>
              </w:rPr>
              <w:t xml:space="preserve"> объектов включены по природным критериям, причём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1F497D"/>
                <w:sz w:val="28"/>
                <w:szCs w:val="28"/>
                <w:rtl w:val="off"/>
              </w:rPr>
              <w:t xml:space="preserve"> ___ 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1F497D"/>
                <w:sz w:val="28"/>
                <w:szCs w:val="28"/>
              </w:rPr>
              <w:t xml:space="preserve">из них признаны природными феноменами исключительной красоты и эстетической важности. </w:t>
            </w:r>
          </w:p>
          <w:p>
            <w:pPr>
              <w:jc w:val="both"/>
              <w:spacing w:line="276"/>
              <w:rPr/>
            </w:pP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1F497D"/>
                <w:sz w:val="28"/>
                <w:szCs w:val="28"/>
                <w:rtl w:val="off"/>
              </w:rPr>
              <w:t xml:space="preserve">    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1F497D"/>
                <w:sz w:val="28"/>
                <w:szCs w:val="28"/>
              </w:rPr>
              <w:t xml:space="preserve">В 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1F497D"/>
                <w:sz w:val="28"/>
                <w:szCs w:val="28"/>
                <w:rtl w:val="off"/>
              </w:rPr>
              <w:t xml:space="preserve">______ 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1F497D"/>
                <w:sz w:val="28"/>
                <w:szCs w:val="28"/>
              </w:rPr>
              <w:t xml:space="preserve">году Россия занимала 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1F497D"/>
                <w:sz w:val="28"/>
                <w:szCs w:val="28"/>
                <w:rtl w:val="off"/>
              </w:rPr>
              <w:t>__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1F497D"/>
                <w:sz w:val="28"/>
                <w:szCs w:val="28"/>
              </w:rPr>
              <w:t>-е место в мире по общему количеству объектов всемирного наследи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1F497D"/>
                <w:sz w:val="28"/>
                <w:szCs w:val="28"/>
                <w:rtl w:val="off"/>
              </w:rPr>
              <w:t>я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1F497D"/>
                <w:sz w:val="28"/>
                <w:szCs w:val="28"/>
                <w:vertAlign w:val="baseline"/>
              </w:rPr>
              <w:t xml:space="preserve">, а по числу природных объектов — 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1F497D"/>
                <w:sz w:val="28"/>
                <w:szCs w:val="28"/>
                <w:vertAlign w:val="baseline"/>
                <w:rtl w:val="off"/>
              </w:rPr>
              <w:t>___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1F497D"/>
                <w:sz w:val="28"/>
                <w:szCs w:val="28"/>
                <w:vertAlign w:val="baseline"/>
              </w:rPr>
              <w:t>-е (после   Китая ,   США   и   Австралии).</w:t>
            </w:r>
          </w:p>
        </w:tc>
      </w:tr>
      <w:tr>
        <w:tc>
          <w:tcPr>
            <w:tcW w:w="5341" w:type="dxa"/>
            <w:vAlign w:val="top"/>
          </w:tcPr>
          <w:p>
            <w:pPr>
              <w:jc w:val="center"/>
              <w:rPr>
                <w:color w:val="735893"/>
                <w:rtl w:val="off"/>
              </w:rPr>
            </w:pPr>
            <w:r>
              <w:rPr>
                <w:caps w:val="off"/>
                <w:rFonts w:ascii="Times New Roman" w:eastAsia="Times New Roman" w:hAnsi="Times New Roman" w:cs="sans-serif"/>
                <w:b/>
                <w:i w:val="0"/>
                <w:color w:val="735893"/>
                <w:sz w:val="28"/>
                <w:szCs w:val="28"/>
              </w:rPr>
              <w:t>Красная площадь</w:t>
            </w:r>
          </w:p>
          <w:p>
            <w:pPr>
              <w:jc w:val="both"/>
              <w:rPr>
                <w:color w:val="735893"/>
                <w:rtl w:val="off"/>
              </w:rPr>
            </w:pPr>
            <w:r>
              <w:rPr>
                <w:color w:val="735893"/>
                <w:rtl w:val="off"/>
              </w:rPr>
              <w:drawing>
                <wp:inline distT="0" distB="0" distL="0" distR="0">
                  <wp:extent cx="3079647" cy="1851044"/>
                  <wp:effectExtent l="0" t="0" r="0" b="0"/>
                  <wp:docPr id="1025" name="shape1025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98" t="11790" r="17915" b="17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647" cy="185104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/>
            </w:pPr>
            <w:r>
              <w:drawing>
                <wp:anchor distT="0" distB="0" distL="0" distR="0" behindDoc="0" locked="0" layoutInCell="1" simplePos="0" relativeHeight="251660288" allowOverlap="1" hidden="0">
                  <wp:simplePos x="0" y="0"/>
                  <wp:positionH relativeFrom="column">
                    <wp:posOffset>1432278</wp:posOffset>
                  </wp:positionH>
                  <wp:positionV relativeFrom="paragraph">
                    <wp:posOffset>2015017</wp:posOffset>
                  </wp:positionV>
                  <wp:extent cx="3576194" cy="1658143"/>
                  <wp:effectExtent l="0" t="0" r="0" b="0"/>
                  <wp:wrapTight wrapText="bothSides">
                    <wp:wrapPolygon edited="0">
                      <wp:start x="0" y="0"/>
                      <wp:lineTo x="21600" y="0"/>
                      <wp:lineTo x="21600" y="21600"/>
                      <wp:lineTo x="0" y="21600"/>
                    </wp:wrapPolygon>
                  </wp:wrapTight>
                  <wp:docPr id="1026" name="shape1026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194" cy="1658143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735893"/>
                <w:rtl w:val="off"/>
              </w:rPr>
              <w:t xml:space="preserve">   </w:t>
            </w:r>
            <w:r>
              <w:rPr>
                <w:rFonts w:ascii="Times New Roman" w:eastAsia="Times New Roman" w:hAnsi="Times New Roman" w:hint="default"/>
                <w:color w:val="735893"/>
                <w:sz w:val="28"/>
                <w:szCs w:val="28"/>
              </w:rPr>
              <w:t>Кра́сная пло́щадь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735893"/>
                <w:sz w:val="28"/>
                <w:szCs w:val="28"/>
              </w:rPr>
              <w:t xml:space="preserve"> — главная площадь  Москвы, расположена между   Московским Кремлём   (к западу) и   Китай-городом   (на восток). Выходит к берегу   Москвы-реки   через пологий   Васильевский спуск.  Общая длина — 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735893"/>
                <w:sz w:val="28"/>
                <w:szCs w:val="28"/>
                <w:rtl w:val="off"/>
              </w:rPr>
              <w:t>___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735893"/>
                <w:sz w:val="28"/>
                <w:szCs w:val="28"/>
              </w:rPr>
              <w:t xml:space="preserve"> метров, ширина — 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735893"/>
                <w:sz w:val="28"/>
                <w:szCs w:val="28"/>
                <w:rtl w:val="off"/>
              </w:rPr>
              <w:t>__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735893"/>
                <w:sz w:val="28"/>
                <w:szCs w:val="28"/>
              </w:rPr>
              <w:t xml:space="preserve"> метров, площадь — 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735893"/>
                <w:sz w:val="28"/>
                <w:szCs w:val="28"/>
                <w:rtl w:val="off"/>
              </w:rPr>
              <w:t>________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735893"/>
                <w:sz w:val="28"/>
                <w:szCs w:val="28"/>
              </w:rPr>
              <w:t>м².</w:t>
            </w:r>
          </w:p>
        </w:tc>
        <w:tc>
          <w:tcPr>
            <w:tcW w:w="5341" w:type="dxa"/>
            <w:vAlign w:val="top"/>
          </w:tcPr>
          <w:p>
            <w:pPr>
              <w:jc w:val="center"/>
              <w:rPr>
                <w:color w:val="735893"/>
                <w:rtl w:val="off"/>
              </w:rPr>
            </w:pPr>
            <w:r>
              <w:rPr>
                <w:caps w:val="off"/>
                <w:rFonts w:ascii="Times New Roman" w:eastAsia="Times New Roman" w:hAnsi="Times New Roman" w:cs="sans-serif"/>
                <w:b/>
                <w:i w:val="0"/>
                <w:color w:val="735893"/>
                <w:sz w:val="28"/>
                <w:szCs w:val="28"/>
              </w:rPr>
              <w:t>Кижский погост</w:t>
            </w:r>
          </w:p>
          <w:p>
            <w:pPr>
              <w:jc w:val="both"/>
              <w:rPr>
                <w:color w:val="735893"/>
                <w:rtl w:val="off"/>
              </w:rPr>
            </w:pPr>
            <w:r>
              <w:rPr>
                <w:color w:val="735893"/>
              </w:rPr>
              <w:drawing>
                <wp:inline distT="0" distB="0" distL="0" distR="0">
                  <wp:extent cx="3147060" cy="1510779"/>
                  <wp:effectExtent l="0" t="0" r="0" b="0"/>
                  <wp:docPr id="1027" name="shape1027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62" t="11227" r="14188" b="19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060" cy="151077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/>
            </w:pPr>
            <w:r>
              <w:rPr>
                <w:color w:val="735893"/>
                <w:rtl w:val="off"/>
              </w:rPr>
              <w:t xml:space="preserve">   </w:t>
            </w:r>
            <w:r>
              <w:rPr>
                <w:rFonts w:ascii="Times New Roman" w:eastAsia="Times New Roman" w:hAnsi="Times New Roman" w:hint="default"/>
                <w:color w:val="735893"/>
                <w:sz w:val="28"/>
                <w:szCs w:val="28"/>
              </w:rPr>
              <w:t>Ки́жский пого́ст</w:t>
            </w:r>
            <w:r>
              <w:rPr>
                <w:rFonts w:ascii="Times New Roman" w:eastAsia="Times New Roman" w:hAnsi="Times New Roman" w:hint="default"/>
                <w:color w:val="735893"/>
                <w:sz w:val="28"/>
                <w:szCs w:val="28"/>
                <w:rtl w:val="off"/>
              </w:rPr>
              <w:t xml:space="preserve"> - 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735893"/>
                <w:sz w:val="28"/>
                <w:szCs w:val="28"/>
                <w:vertAlign w:val="baseline"/>
              </w:rPr>
              <w:t xml:space="preserve">архитектурный ансамбль   в составе   Государственного историко-архитектурного музея «Кижи», расположенный на   острове Кижи   Онежского озера, состоящий из 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735893"/>
                <w:sz w:val="28"/>
                <w:szCs w:val="28"/>
                <w:vertAlign w:val="baseline"/>
                <w:rtl w:val="off"/>
              </w:rPr>
              <w:t>_____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735893"/>
                <w:sz w:val="28"/>
                <w:szCs w:val="28"/>
                <w:vertAlign w:val="baseline"/>
              </w:rPr>
              <w:t xml:space="preserve"> церквей и колокольни 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735893"/>
                <w:sz w:val="28"/>
                <w:szCs w:val="28"/>
                <w:vertAlign w:val="baseline"/>
                <w:rtl w:val="off"/>
              </w:rPr>
              <w:t>_____ - ______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735893"/>
                <w:sz w:val="28"/>
                <w:szCs w:val="28"/>
                <w:vertAlign w:val="baseline"/>
              </w:rPr>
              <w:t xml:space="preserve"> веков, окружённых единой оградой   погостов.  </w:t>
            </w:r>
            <w:r>
              <w:rPr>
                <w:caps w:val="off"/>
                <w:rFonts w:ascii="Times New Roman" w:eastAsia="Times New Roman" w:hAnsi="Times New Roman" w:cs="sans-serif"/>
                <w:b w:val="0"/>
                <w:i w:val="0"/>
                <w:color w:val="735893"/>
                <w:sz w:val="28"/>
                <w:szCs w:val="28"/>
                <w:vertAlign w:val="baseline"/>
                <w:rtl w:val="off"/>
              </w:rPr>
              <w:t>Дата основания _______ .</w:t>
            </w:r>
          </w:p>
        </w:tc>
      </w:tr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2"/>
            <w:vAlign w:val="top"/>
          </w:tcPr>
          <w:p>
            <w:pPr>
              <w:jc w:val="center"/>
              <w:rPr/>
            </w:pPr>
          </w:p>
        </w:tc>
      </w:tr>
    </w:tbl>
    <w:p>
      <w:pPr>
        <w:jc w:val="both"/>
        <w:rPr>
          <w:rFonts w:ascii="Times New Roman" w:hAnsi="Times New Roman" w:cs="Times New Roman"/>
          <w:sz w:val="24"/>
          <w:szCs w:val="24"/>
        </w:rPr>
      </w:pPr>
    </w:p>
    <w:sectPr>
      <w:pgSz w:w="11906" w:h="16838"/>
      <w:pgMar w:top="62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true"/>
    <w:sig w:usb0="E0002EFF" w:usb1="C000785B" w:usb2="00000009" w:usb3="00000001" w:csb0="400001FF" w:csb1="FFFF0000"/>
  </w:font>
  <w:font w:name="Calibri">
    <w:panose1 w:val="020F0502020204030204"/>
    <w:family w:val="swiss"/>
    <w:charset w:val="cc"/>
    <w:notTrueType w:val="true"/>
    <w:sig w:usb0="E4002EFF" w:usb1="C000247B" w:usb2="00000009" w:usb3="00000001" w:csb0="200001FF" w:csb1="00000001"/>
  </w:font>
  <w:font w:name="Roboto">
    <w:family w:val="auto"/>
    <w:charset w:val="00"/>
    <w:notTrueType w:val="false"/>
  </w:font>
  <w:font w:name="GraphikCy">
    <w:family w:val="auto"/>
    <w:altName w:val="Calibri"/>
    <w:charset w:val="00"/>
    <w:notTrueType w:val="false"/>
  </w:font>
  <w:font w:name="sans-serif">
    <w:charset w:val="00"/>
    <w:notTrueType w:val="fals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80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  <w:pPr>
      <w:spacing w:after="200" w:line="276" w:lineRule="auto"/>
    </w:pPr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table" w:styleId="afffff5">
    <w:name w:val="Table Grid"/>
    <w:basedOn w:val="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styles" Target="styles.xml" /><Relationship Id="rId5" Type="http://schemas.openxmlformats.org/officeDocument/2006/relationships/settings" Target="settings.xml" /><Relationship Id="rId6" Type="http://schemas.openxmlformats.org/officeDocument/2006/relationships/fontTable" Target="fontTable.xml" /><Relationship Id="rId7" Type="http://schemas.openxmlformats.org/officeDocument/2006/relationships/webSettings" Target="webSettings.xml" /><Relationship Id="rId8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Анжела</cp:lastModifiedBy>
  <cp:revision>1</cp:revision>
  <dcterms:created xsi:type="dcterms:W3CDTF">2022-02-10T04:03:00Z</dcterms:created>
  <dcterms:modified xsi:type="dcterms:W3CDTF">2022-11-04T11:19:20Z</dcterms:modified>
  <cp:version>0900.0000.01</cp:version>
</cp:coreProperties>
</file>