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EB" w:rsidRDefault="00D71A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ПРОФЕССИОНАЛЬНОЙ КОМПЕТЕНТНОСТИ ПЕДАГОГОВ ДОШКОЛЬНОЙ ОБРАЗОВАТЕЛЬНОЙ ОРГАНИЗАЦИИ </w:t>
      </w:r>
    </w:p>
    <w:p w:rsidR="003630EB" w:rsidRDefault="00D71A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ИСПОЛЬЗОВАНИЕМ ИНТЕРАКТИВНЫХ ФОРМ ОБУЧЕНИЯ</w:t>
      </w:r>
    </w:p>
    <w:p w:rsidR="003630EB" w:rsidRDefault="00363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0EB" w:rsidRDefault="00D71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Дрожилкина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3630EB" w:rsidRDefault="00D71AC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МБДОУ «Детский сад № 7», г. Нижний Новгород</w:t>
      </w:r>
    </w:p>
    <w:p w:rsidR="003630EB" w:rsidRDefault="003630E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0EB" w:rsidRDefault="00D71A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Проблема развития профессиональной компетентности педагога дошкольной образовательной организации (ДОО) широко представлена в научных исследованиях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Майер,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Яфаевой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Е.Л. Яковлевой и др. Данное понятие рассматривается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как системообразующий фактор профессионального развития педагога в единстве его личностных качеств и профессиональных способностей [1].</w:t>
      </w:r>
    </w:p>
    <w:p w:rsidR="003630EB" w:rsidRDefault="00D71A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Процесс повышения профессиональной компетентности педагогов в условиях ДОО осуществляется с помощью самообразования и </w:t>
      </w:r>
      <w:r>
        <w:rPr>
          <w:rFonts w:ascii="Times New Roman" w:hAnsi="Times New Roman" w:cs="Times New Roman"/>
          <w:sz w:val="24"/>
          <w:szCs w:val="24"/>
        </w:rPr>
        <w:t>организации методического сопровождения. Особенностью методического сопровождения на современном этапе является создание такой образовательной среды, в которой полностью будет реализован потенциал каждого педагога и всего педагогического коллектива.</w:t>
      </w:r>
    </w:p>
    <w:p w:rsidR="003630EB" w:rsidRDefault="00D71A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</w:t>
      </w:r>
      <w:r>
        <w:rPr>
          <w:rFonts w:ascii="Times New Roman" w:hAnsi="Times New Roman" w:cs="Times New Roman"/>
          <w:sz w:val="24"/>
          <w:szCs w:val="24"/>
        </w:rPr>
        <w:t xml:space="preserve">пределения профессиональных дефицитов педагогов нашего учреждения мы выбрали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модель современного педагога ДОО в контексте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выделяются отдельные компетентности в соответствии с ведущими видами профессиональной работы педагогов [2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30EB" w:rsidRDefault="00D71A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методическая (1); </w:t>
      </w:r>
    </w:p>
    <w:p w:rsidR="003630EB" w:rsidRDefault="00D71A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технологическая (2); </w:t>
      </w:r>
    </w:p>
    <w:p w:rsidR="003630EB" w:rsidRDefault="00D71A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коммуникативная (3);</w:t>
      </w:r>
    </w:p>
    <w:p w:rsidR="003630EB" w:rsidRDefault="00D71A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(4);</w:t>
      </w:r>
    </w:p>
    <w:p w:rsidR="003630EB" w:rsidRDefault="00D71A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креативная (5); </w:t>
      </w:r>
    </w:p>
    <w:p w:rsidR="003630EB" w:rsidRDefault="00D71A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игровая (6); </w:t>
      </w:r>
    </w:p>
    <w:p w:rsidR="003630EB" w:rsidRDefault="00D71A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рефлексивная (7).</w:t>
      </w:r>
    </w:p>
    <w:p w:rsidR="003630EB" w:rsidRDefault="00D71A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начальной диагностики </w:t>
      </w:r>
      <w:r>
        <w:rPr>
          <w:rFonts w:ascii="Times New Roman" w:hAnsi="Times New Roman" w:cs="Times New Roman"/>
          <w:sz w:val="24"/>
          <w:szCs w:val="24"/>
        </w:rPr>
        <w:t>начальных</w:t>
      </w:r>
      <w:r>
        <w:rPr>
          <w:rFonts w:ascii="Times New Roman" w:hAnsi="Times New Roman" w:cs="Times New Roman"/>
          <w:sz w:val="24"/>
          <w:szCs w:val="24"/>
        </w:rPr>
        <w:t xml:space="preserve"> дефицитов представлены на рис. 1. По вертикали отложен процент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которые владеют рассматриваемой компетенцией на данном уровне.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3630EB">
        <w:tc>
          <w:tcPr>
            <w:tcW w:w="10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630EB" w:rsidRDefault="00D71AC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56759" cy="2727959"/>
                  <wp:effectExtent l="4762" t="4762" r="4762" b="4762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3630EB">
        <w:tc>
          <w:tcPr>
            <w:tcW w:w="10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630EB" w:rsidRDefault="00D71AC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диагности</w:t>
            </w:r>
            <w:r w:rsidR="006B64EB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</w:tbl>
    <w:p w:rsidR="003630EB" w:rsidRDefault="003630E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0EB" w:rsidRDefault="00D71A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обработки всех имеющихся материалов, проведённых с педагогами ДОО, а именно:</w:t>
      </w:r>
    </w:p>
    <w:p w:rsidR="003630EB" w:rsidRDefault="00D71AC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Диагностика </w:t>
      </w:r>
      <w:r>
        <w:rPr>
          <w:rFonts w:ascii="Times New Roman" w:hAnsi="Times New Roman" w:cs="Times New Roman"/>
          <w:sz w:val="24"/>
          <w:szCs w:val="24"/>
        </w:rPr>
        <w:t>выявления личностных дефицитов педагогических компетентностей [2]</w:t>
      </w:r>
      <w:r w:rsidRPr="006B64EB">
        <w:rPr>
          <w:rFonts w:ascii="Times New Roman" w:hAnsi="Times New Roman" w:cs="Times New Roman"/>
          <w:sz w:val="24"/>
          <w:szCs w:val="24"/>
        </w:rPr>
        <w:t>;</w:t>
      </w:r>
    </w:p>
    <w:p w:rsidR="003630EB" w:rsidRDefault="00D71AC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анкет педагогов «Оценка реализации потребности педагогов в развитии» [3]</w:t>
      </w:r>
      <w:r w:rsidRPr="006B64EB">
        <w:rPr>
          <w:rFonts w:ascii="Times New Roman" w:hAnsi="Times New Roman" w:cs="Times New Roman"/>
          <w:sz w:val="24"/>
          <w:szCs w:val="24"/>
        </w:rPr>
        <w:t>;</w:t>
      </w:r>
    </w:p>
    <w:p w:rsidR="003630EB" w:rsidRDefault="00D71AC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кадровых условий ДОО, определилось несколько групп </w:t>
      </w:r>
      <w:r>
        <w:rPr>
          <w:rFonts w:ascii="Times New Roman" w:hAnsi="Times New Roman" w:cs="Times New Roman"/>
          <w:sz w:val="24"/>
          <w:szCs w:val="24"/>
        </w:rPr>
        <w:t>педагогов, которых мы распределили на подгруппы  «Стажеры» и «Исследователи».</w:t>
      </w:r>
    </w:p>
    <w:p w:rsidR="003630EB" w:rsidRDefault="00D71A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Наличие педагогических дефицитов в </w:t>
      </w:r>
      <w:r>
        <w:rPr>
          <w:rFonts w:ascii="Times New Roman" w:hAnsi="Times New Roman" w:cs="Times New Roman"/>
          <w:i/>
          <w:sz w:val="24"/>
          <w:szCs w:val="24"/>
        </w:rPr>
        <w:t>методической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0% начинающих педагогов, имеющие стаж работы менее 10 лет; дефициты в </w:t>
      </w:r>
      <w:r>
        <w:rPr>
          <w:rFonts w:ascii="Times New Roman" w:hAnsi="Times New Roman" w:cs="Times New Roman"/>
          <w:i/>
          <w:sz w:val="24"/>
          <w:szCs w:val="24"/>
        </w:rPr>
        <w:t>технологической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ис</w:t>
      </w:r>
      <w:r>
        <w:rPr>
          <w:rFonts w:ascii="Times New Roman" w:hAnsi="Times New Roman" w:cs="Times New Roman"/>
          <w:sz w:val="24"/>
          <w:szCs w:val="24"/>
        </w:rPr>
        <w:t xml:space="preserve">пытывали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5% педагогов, имеющих стаж педагогической деятельности более 45 лет; </w:t>
      </w:r>
      <w:r>
        <w:rPr>
          <w:rFonts w:ascii="Times New Roman" w:hAnsi="Times New Roman" w:cs="Times New Roman"/>
          <w:i/>
          <w:sz w:val="24"/>
          <w:szCs w:val="24"/>
        </w:rPr>
        <w:t>коммуникативная компетентность</w:t>
      </w:r>
      <w:r>
        <w:rPr>
          <w:rFonts w:ascii="Times New Roman" w:hAnsi="Times New Roman" w:cs="Times New Roman"/>
          <w:sz w:val="24"/>
          <w:szCs w:val="24"/>
        </w:rPr>
        <w:t xml:space="preserve"> составила 50 % начинающих педагогов и 38% педагогов со стажем более 10 лет. </w:t>
      </w:r>
    </w:p>
    <w:p w:rsidR="003630EB" w:rsidRDefault="00D71A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Согласно определению А.С. Воронина: «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Интерактивные формы обучения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это специальные формы организации познавательной деятельности, подразумевающие вполне конкретные и прогнозируемые цели, одна из которых состоит в создании комфортных условий обучения, при которых обучающийся чувствует свою успешность, свою интеллектуальную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состоятельность, что делает продуктивным сам процесс обучения». Нами был составлен план методических мероприятий,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который реализовывался с учетом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всех групп педагогов «Стажёры» и «Исследователи»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(табл. 1).</w:t>
      </w:r>
    </w:p>
    <w:p w:rsidR="003630EB" w:rsidRDefault="003630EB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2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1417"/>
        <w:gridCol w:w="3119"/>
      </w:tblGrid>
      <w:tr w:rsidR="003630EB">
        <w:trPr>
          <w:trHeight w:val="583"/>
        </w:trPr>
        <w:tc>
          <w:tcPr>
            <w:tcW w:w="10740" w:type="dxa"/>
            <w:gridSpan w:val="4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3630EB" w:rsidRDefault="00D71A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1. План методических мероприятий с педаг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огами ДОО, направленных на повышение профессиональной компетентности с использованием интерактивных форм взаимодействия</w:t>
            </w:r>
          </w:p>
        </w:tc>
      </w:tr>
      <w:tr w:rsidR="003630EB">
        <w:trPr>
          <w:trHeight w:val="5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(интерактивные формы работы с педагогами)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630EB">
        <w:tc>
          <w:tcPr>
            <w:tcW w:w="10740" w:type="dxa"/>
            <w:gridSpan w:val="4"/>
            <w:tcBorders>
              <w:top w:val="single" w:sz="4" w:space="0" w:color="000000"/>
            </w:tcBorders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ЭТАП – ПОДГОТОВИТЕЛЬНЫЙ 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этапа: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профессиональные дефициты каждого педагога, подготовить их к пониманию необходимости по – иному посмотреть на себя, как на профессионала.</w:t>
            </w:r>
          </w:p>
        </w:tc>
      </w:tr>
      <w:tr w:rsidR="003630EB">
        <w:tc>
          <w:tcPr>
            <w:tcW w:w="1242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2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Диагностирование педагогов.</w:t>
            </w:r>
          </w:p>
          <w:p w:rsidR="003630EB" w:rsidRDefault="00D71ACF">
            <w:pPr>
              <w:tabs>
                <w:tab w:val="left" w:pos="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«Оценка реализации потребностей педагога в развитии» (Н.В.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«Диагностика </w:t>
            </w:r>
            <w:proofErr w:type="gramStart"/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3630EB" w:rsidRDefault="00D71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компетентности педагога ДОО»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(авторы:</w:t>
            </w:r>
            <w:proofErr w:type="gramEnd"/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Чеменева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А.А., Попова В.Р., </w:t>
            </w:r>
          </w:p>
          <w:p w:rsidR="003630EB" w:rsidRDefault="00D71ACF">
            <w:pPr>
              <w:tabs>
                <w:tab w:val="left" w:pos="937"/>
              </w:tabs>
              <w:spacing w:line="276" w:lineRule="auto"/>
              <w:jc w:val="both"/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Вербовская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 xml:space="preserve"> Е.В.)</w:t>
            </w:r>
          </w:p>
          <w:p w:rsidR="003630EB" w:rsidRDefault="00D71ACF">
            <w:pPr>
              <w:tabs>
                <w:tab w:val="left" w:pos="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Анализ кадровых условий.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3630EB" w:rsidRDefault="00D71ACF">
            <w:pPr>
              <w:pStyle w:val="af7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потребностей педагогов 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проц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ессе составления годового плана работы ДОО)</w:t>
            </w:r>
          </w:p>
          <w:p w:rsidR="003630EB" w:rsidRDefault="003630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0EB" w:rsidRDefault="00D71ACF">
            <w:pPr>
              <w:pStyle w:val="af7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Мотивация 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к развитию адекватного представления о собственной деятельности и профессиональной мобильности, необходимой для самореализации в профессии.</w:t>
            </w:r>
          </w:p>
          <w:p w:rsidR="003630EB" w:rsidRDefault="003630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30EB">
        <w:trPr>
          <w:trHeight w:val="803"/>
        </w:trPr>
        <w:tc>
          <w:tcPr>
            <w:tcW w:w="1242" w:type="dxa"/>
            <w:vMerge w:val="restart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2" w:type="dxa"/>
          </w:tcPr>
          <w:p w:rsidR="003630EB" w:rsidRDefault="00D71ACF">
            <w:pPr>
              <w:tabs>
                <w:tab w:val="left" w:pos="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Групповые дискуссии</w:t>
            </w:r>
          </w:p>
          <w:p w:rsidR="003630EB" w:rsidRDefault="00D71ACF">
            <w:pPr>
              <w:tabs>
                <w:tab w:val="left" w:pos="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«Компетентность педагога в нормативно-правовых документах»</w:t>
            </w:r>
          </w:p>
        </w:tc>
        <w:tc>
          <w:tcPr>
            <w:tcW w:w="1417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0EB">
        <w:trPr>
          <w:trHeight w:val="885"/>
        </w:trPr>
        <w:tc>
          <w:tcPr>
            <w:tcW w:w="1242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30EB" w:rsidRDefault="00D71ACF">
            <w:pPr>
              <w:tabs>
                <w:tab w:val="left" w:pos="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Микрофон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«Коммуникативная культура как составляющая взаимодействия всех участников образовательных отношений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0EB">
        <w:tc>
          <w:tcPr>
            <w:tcW w:w="10740" w:type="dxa"/>
            <w:gridSpan w:val="4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ЭТАП – ПРАКТИЧЕСКИЙ 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этапа: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Обладание  базовыми и специальными теоретическими  знаниями, необходимыми для осуществления  эффективной профессиональной деятельности.</w:t>
            </w:r>
          </w:p>
        </w:tc>
      </w:tr>
      <w:tr w:rsidR="003630EB">
        <w:trPr>
          <w:trHeight w:val="840"/>
        </w:trPr>
        <w:tc>
          <w:tcPr>
            <w:tcW w:w="1242" w:type="dxa"/>
            <w:vMerge w:val="restart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Вечер вопросов и ответов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«Составление календарного планирования»</w:t>
            </w:r>
          </w:p>
        </w:tc>
        <w:tc>
          <w:tcPr>
            <w:tcW w:w="1417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3630EB" w:rsidRDefault="00D71AC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знаний: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специфике мониторинга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процесса ДОО.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 новых методиках и технологиях работы с детьми и родителями.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 способах планирования образовательного процесса.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 нормативных документах по вопросам обучения и воспитания.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принципах 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личностно - ориентированного 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подхода в воспитании детей.</w:t>
            </w:r>
          </w:p>
          <w:p w:rsidR="003630EB" w:rsidRDefault="003630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0EB" w:rsidRDefault="00D71ACF">
            <w:pPr>
              <w:pStyle w:val="af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</w:p>
          <w:p w:rsidR="003630EB" w:rsidRDefault="00D71ACF">
            <w:pPr>
              <w:spacing w:line="276" w:lineRule="auto"/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коммуникативной культуры </w:t>
            </w:r>
          </w:p>
          <w:p w:rsidR="003630EB" w:rsidRDefault="003630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0EB" w:rsidRDefault="00D71AC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ИКТ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компетентности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представления педагогов о современном образовании, 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мотивационной основы самореализации.</w:t>
            </w:r>
          </w:p>
          <w:p w:rsidR="003630EB" w:rsidRDefault="003630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0EB" w:rsidRDefault="00D71ACF">
            <w:pPr>
              <w:numPr>
                <w:ilvl w:val="0"/>
                <w:numId w:val="2"/>
              </w:numPr>
              <w:spacing w:line="276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позиции педагогов по отношению к собственному опыту и опыту коллег.</w:t>
            </w:r>
          </w:p>
          <w:p w:rsidR="003630EB" w:rsidRDefault="003630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0EB" w:rsidRDefault="003630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0EB">
        <w:trPr>
          <w:trHeight w:val="783"/>
        </w:trPr>
        <w:tc>
          <w:tcPr>
            <w:tcW w:w="1242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Дискуссия: метод «Аквариум»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педагог нужен современному образованию»</w:t>
            </w:r>
          </w:p>
        </w:tc>
        <w:tc>
          <w:tcPr>
            <w:tcW w:w="1417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</w:tcPr>
          <w:p w:rsidR="003630EB" w:rsidRDefault="003630EB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0EB">
        <w:trPr>
          <w:trHeight w:val="758"/>
        </w:trPr>
        <w:tc>
          <w:tcPr>
            <w:tcW w:w="1242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Большой круг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формы взаимодействия с родителями (законными представителями)»</w:t>
            </w:r>
          </w:p>
        </w:tc>
        <w:tc>
          <w:tcPr>
            <w:tcW w:w="1417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0EB">
        <w:trPr>
          <w:trHeight w:val="810"/>
        </w:trPr>
        <w:tc>
          <w:tcPr>
            <w:tcW w:w="1242" w:type="dxa"/>
            <w:vMerge w:val="restart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2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Ролевая игра: метод «Открытый микрофон»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«Мотивация к самообразованию»</w:t>
            </w:r>
          </w:p>
        </w:tc>
        <w:tc>
          <w:tcPr>
            <w:tcW w:w="1417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0EB">
        <w:trPr>
          <w:trHeight w:val="510"/>
        </w:trPr>
        <w:tc>
          <w:tcPr>
            <w:tcW w:w="1242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Кружок качества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ИКТ в образовательном процессе»</w:t>
            </w:r>
          </w:p>
        </w:tc>
        <w:tc>
          <w:tcPr>
            <w:tcW w:w="1417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0EB">
        <w:trPr>
          <w:trHeight w:val="870"/>
        </w:trPr>
        <w:tc>
          <w:tcPr>
            <w:tcW w:w="1242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персонального сайта педагога ДОО»</w:t>
            </w:r>
          </w:p>
        </w:tc>
        <w:tc>
          <w:tcPr>
            <w:tcW w:w="1417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0EB">
        <w:trPr>
          <w:trHeight w:val="795"/>
        </w:trPr>
        <w:tc>
          <w:tcPr>
            <w:tcW w:w="1242" w:type="dxa"/>
            <w:vMerge w:val="restart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962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«Система электронного планирования в ДОО»</w:t>
            </w:r>
          </w:p>
        </w:tc>
        <w:tc>
          <w:tcPr>
            <w:tcW w:w="1417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0EB">
        <w:trPr>
          <w:trHeight w:val="255"/>
        </w:trPr>
        <w:tc>
          <w:tcPr>
            <w:tcW w:w="1242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Экскурсионный практикум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«Реализация принципа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индивидуализации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развивающей предметно-пространственной среде группы»</w:t>
            </w:r>
          </w:p>
        </w:tc>
        <w:tc>
          <w:tcPr>
            <w:tcW w:w="1417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0EB">
        <w:trPr>
          <w:trHeight w:val="1035"/>
        </w:trPr>
        <w:tc>
          <w:tcPr>
            <w:tcW w:w="1242" w:type="dxa"/>
            <w:vMerge w:val="restart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2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Микрофон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«Коммуникативная культура как составляющая успешного взаимодействия со всеми участниками образовательных отношений»</w:t>
            </w:r>
          </w:p>
        </w:tc>
        <w:tc>
          <w:tcPr>
            <w:tcW w:w="1417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0EB">
        <w:trPr>
          <w:trHeight w:val="758"/>
        </w:trPr>
        <w:tc>
          <w:tcPr>
            <w:tcW w:w="1242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«Аттестация педагогических работников с учетом нормативных требований»</w:t>
            </w:r>
          </w:p>
        </w:tc>
        <w:tc>
          <w:tcPr>
            <w:tcW w:w="1417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0EB">
        <w:trPr>
          <w:trHeight w:val="510"/>
        </w:trPr>
        <w:tc>
          <w:tcPr>
            <w:tcW w:w="1242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Ярмарка педагогического мастерства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«Обобщаем опыт работы»</w:t>
            </w:r>
          </w:p>
        </w:tc>
        <w:tc>
          <w:tcPr>
            <w:tcW w:w="1417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0EB">
        <w:tc>
          <w:tcPr>
            <w:tcW w:w="10740" w:type="dxa"/>
            <w:gridSpan w:val="4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ЭТАП - АНАЛИТИЧЕСКИЙ  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этапа: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раскрытие новых возможностей самореализации, повышающих ценность педагогов как профессионалов.</w:t>
            </w:r>
          </w:p>
        </w:tc>
      </w:tr>
      <w:tr w:rsidR="003630EB">
        <w:trPr>
          <w:trHeight w:val="479"/>
        </w:trPr>
        <w:tc>
          <w:tcPr>
            <w:tcW w:w="1242" w:type="dxa"/>
            <w:vMerge w:val="restart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4962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Ярмарка педагогического мастерства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«Проектные технологии в ДОО»</w:t>
            </w:r>
          </w:p>
        </w:tc>
        <w:tc>
          <w:tcPr>
            <w:tcW w:w="1417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3630EB" w:rsidRDefault="003630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630EB" w:rsidRDefault="00D71ACF">
            <w:pPr>
              <w:pStyle w:val="af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Обобщение </w:t>
            </w:r>
          </w:p>
          <w:p w:rsidR="003630EB" w:rsidRDefault="00D71ACF">
            <w:pPr>
              <w:spacing w:line="276" w:lineRule="auto"/>
              <w:ind w:left="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распространение педагогического опыта на всех уровнях.</w:t>
            </w:r>
          </w:p>
          <w:p w:rsidR="003630EB" w:rsidRDefault="003630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0EB" w:rsidRDefault="00D71ACF">
            <w:pPr>
              <w:pStyle w:val="af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Переход педагогов 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 на уровень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непрерывного</w:t>
            </w:r>
            <w:proofErr w:type="gramEnd"/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саморазвития.</w:t>
            </w:r>
          </w:p>
        </w:tc>
      </w:tr>
      <w:tr w:rsidR="003630EB">
        <w:trPr>
          <w:trHeight w:val="491"/>
        </w:trPr>
        <w:tc>
          <w:tcPr>
            <w:tcW w:w="1242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Деловая игра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«Самообразование как один из путей совершенствования педагога»</w:t>
            </w:r>
          </w:p>
        </w:tc>
        <w:tc>
          <w:tcPr>
            <w:tcW w:w="1417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3630EB" w:rsidRDefault="003630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EB">
        <w:trPr>
          <w:trHeight w:val="607"/>
        </w:trPr>
        <w:tc>
          <w:tcPr>
            <w:tcW w:w="1242" w:type="dxa"/>
            <w:vMerge w:val="restart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962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Кружок – качества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презентаций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обучающихся»</w:t>
            </w:r>
          </w:p>
        </w:tc>
        <w:tc>
          <w:tcPr>
            <w:tcW w:w="1417" w:type="dxa"/>
            <w:vMerge w:val="restart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vMerge/>
          </w:tcPr>
          <w:p w:rsidR="003630EB" w:rsidRDefault="003630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EB">
        <w:trPr>
          <w:trHeight w:val="511"/>
        </w:trPr>
        <w:tc>
          <w:tcPr>
            <w:tcW w:w="1242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Союз единомышленников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 «Моя профессия – воспитатель»</w:t>
            </w:r>
          </w:p>
        </w:tc>
        <w:tc>
          <w:tcPr>
            <w:tcW w:w="1417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630EB" w:rsidRDefault="003630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EB">
        <w:trPr>
          <w:trHeight w:val="276"/>
        </w:trPr>
        <w:tc>
          <w:tcPr>
            <w:tcW w:w="1242" w:type="dxa"/>
            <w:vMerge w:val="restart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962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результатов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«Инновации, нововведения, новшества в деятельности каждого педагога»</w:t>
            </w:r>
          </w:p>
        </w:tc>
        <w:tc>
          <w:tcPr>
            <w:tcW w:w="1417" w:type="dxa"/>
            <w:vMerge w:val="restart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</w:tcPr>
          <w:p w:rsidR="003630EB" w:rsidRDefault="003630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EB">
        <w:trPr>
          <w:trHeight w:val="720"/>
        </w:trPr>
        <w:tc>
          <w:tcPr>
            <w:tcW w:w="1242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Конференция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совет: «Итоги учебного года»</w:t>
            </w:r>
          </w:p>
        </w:tc>
        <w:tc>
          <w:tcPr>
            <w:tcW w:w="1417" w:type="dxa"/>
            <w:vMerge/>
          </w:tcPr>
          <w:p w:rsidR="003630EB" w:rsidRDefault="00363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630EB" w:rsidRDefault="003630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0EB">
        <w:trPr>
          <w:trHeight w:val="720"/>
        </w:trPr>
        <w:tc>
          <w:tcPr>
            <w:tcW w:w="10740" w:type="dxa"/>
            <w:gridSpan w:val="4"/>
            <w:vMerge w:val="restart"/>
          </w:tcPr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Условные обозначения (категория педагогов):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 группа педагогов «Стажеры»;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– группа педагогов «Исследователи»;</w:t>
            </w:r>
          </w:p>
          <w:p w:rsidR="003630EB" w:rsidRDefault="00D71A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– совместные мероприятия для педагогов обеих групп.</w:t>
            </w:r>
          </w:p>
        </w:tc>
      </w:tr>
    </w:tbl>
    <w:p w:rsidR="003630EB" w:rsidRDefault="00D71A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полной реализации плана методических мероприятий с педагогами, была проведена повторная диагностика дефицитов педагогических компетенций (рис. 2).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3630EB">
        <w:tc>
          <w:tcPr>
            <w:tcW w:w="10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630EB" w:rsidRDefault="00D71ACF">
            <w:pPr>
              <w:pStyle w:val="afc"/>
              <w:spacing w:before="0" w:beforeAutospacing="0" w:after="0" w:afterAutospacing="0"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56760" cy="2727959"/>
                  <wp:effectExtent l="4762" t="4762" r="4762" b="4762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3630EB">
        <w:tc>
          <w:tcPr>
            <w:tcW w:w="10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630EB" w:rsidRDefault="00D71ACF">
            <w:pPr>
              <w:pStyle w:val="afc"/>
              <w:spacing w:before="0" w:beforeAutospacing="0" w:after="0" w:afterAutospacing="0" w:line="27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Рис. 2 Итоговая диагностика</w:t>
            </w:r>
          </w:p>
        </w:tc>
      </w:tr>
    </w:tbl>
    <w:p w:rsidR="003630EB" w:rsidRDefault="003630EB">
      <w:pPr>
        <w:pStyle w:val="afc"/>
        <w:spacing w:before="0" w:beforeAutospacing="0" w:after="0" w:afterAutospacing="0" w:line="276" w:lineRule="auto"/>
        <w:jc w:val="both"/>
        <w:rPr>
          <w:rFonts w:eastAsia="+mn-ea"/>
        </w:rPr>
      </w:pPr>
    </w:p>
    <w:p w:rsidR="003630EB" w:rsidRDefault="00D71ACF">
      <w:pPr>
        <w:pStyle w:val="afc"/>
        <w:spacing w:before="0" w:beforeAutospacing="0" w:after="0" w:afterAutospacing="0" w:line="276" w:lineRule="auto"/>
        <w:ind w:firstLine="708"/>
        <w:jc w:val="both"/>
      </w:pPr>
      <w:r>
        <w:rPr>
          <w:rFonts w:eastAsia="+mn-ea"/>
          <w:bCs/>
          <w:iCs/>
        </w:rPr>
        <w:t>Благодаря системной и планомерной работе по данному направлению педаго</w:t>
      </w:r>
      <w:r>
        <w:rPr>
          <w:rFonts w:eastAsia="+mn-ea"/>
          <w:bCs/>
          <w:iCs/>
        </w:rPr>
        <w:t>ги существенно повысили уровень профессиональной компетентности: методической - на 45%, технологической – на 35%, коммуникативной - на 35%.</w:t>
      </w:r>
      <w:r>
        <w:t xml:space="preserve"> </w:t>
      </w:r>
      <w:r>
        <w:rPr>
          <w:rFonts w:eastAsia="+mn-ea"/>
          <w:bCs/>
          <w:iCs/>
        </w:rPr>
        <w:t>По другим показателям также результаты улучшились, на 5-20%</w:t>
      </w:r>
    </w:p>
    <w:p w:rsidR="003630EB" w:rsidRDefault="00D71ACF">
      <w:pPr>
        <w:pStyle w:val="afc"/>
        <w:spacing w:before="0" w:beforeAutospacing="0" w:after="0" w:afterAutospacing="0" w:line="276" w:lineRule="auto"/>
        <w:ind w:firstLine="708"/>
        <w:jc w:val="both"/>
        <w:rPr>
          <w:rFonts w:eastAsia="+mn-ea"/>
        </w:rPr>
      </w:pPr>
      <w:r>
        <w:rPr>
          <w:rFonts w:eastAsia="+mn-ea"/>
        </w:rPr>
        <w:t xml:space="preserve">Внедрённые интерактивные формы работы с педагогами ДОО способствовали их </w:t>
      </w:r>
      <w:r>
        <w:rPr>
          <w:rFonts w:eastAsia="Arial"/>
        </w:rPr>
        <w:t>профессиональному и творческому росту, повышению методической активности, формированию коллектива единомышленников, увлечённых педагогической идеей, заинтересованных в конечных резуль</w:t>
      </w:r>
      <w:r>
        <w:rPr>
          <w:rFonts w:eastAsia="Arial"/>
        </w:rPr>
        <w:t xml:space="preserve">татах, что </w:t>
      </w:r>
      <w:r>
        <w:rPr>
          <w:rFonts w:eastAsia="Arial"/>
          <w:bCs/>
          <w:iCs/>
        </w:rPr>
        <w:t>доказывает  успешность и результативность методической работы.</w:t>
      </w:r>
    </w:p>
    <w:p w:rsidR="003630EB" w:rsidRDefault="003630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B6" w:rsidRDefault="007369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9B6" w:rsidRDefault="007369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9B6" w:rsidRDefault="007369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0EB" w:rsidRDefault="00D71A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3630EB" w:rsidRDefault="00D71ACF">
      <w:pPr>
        <w:pStyle w:val="af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Проблемы коммуникативной компетентности будущего педагога //Социокультурное воспитание дошкольников: проблемы и перспективы: сборник научных трудов/под редакцией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Комратовой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Нижний Новгород, 2003. С. 33-34.</w:t>
      </w:r>
    </w:p>
    <w:p w:rsidR="003630EB" w:rsidRDefault="00D71ACF">
      <w:pPr>
        <w:pStyle w:val="af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Чеменева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Попова</w:t>
      </w:r>
      <w:r>
        <w:rPr>
          <w:rFonts w:ascii="Times New Roman" w:hAnsi="Times New Roman" w:cs="Times New Roman"/>
          <w:sz w:val="24"/>
          <w:szCs w:val="24"/>
        </w:rPr>
        <w:t xml:space="preserve"> 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модель современного педагога ДОО в контексте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./Журнал  «Нижегородское образование», №3,2015. Стр.109-116.</w:t>
      </w:r>
    </w:p>
    <w:p w:rsidR="003630EB" w:rsidRDefault="00D71ACF">
      <w:pPr>
        <w:pStyle w:val="af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Зверева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Оценка </w:t>
      </w:r>
      <w:r w:rsidR="007369B6">
        <w:rPr>
          <w:rFonts w:ascii="Times New Roman" w:hAnsi="Times New Roman" w:cs="Times New Roman"/>
          <w:sz w:val="24"/>
          <w:szCs w:val="24"/>
        </w:rPr>
        <w:t>реализации потребностей педагогов в развитии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tooltip="https://pandia.ru/text/78/063/8255.php?ysclid=lpgmt8f9ms198772337" w:history="1">
        <w:r>
          <w:rPr>
            <w:rStyle w:val="afa"/>
            <w:rFonts w:ascii="Times New Roman" w:hAnsi="Times New Roman" w:cs="Times New Roman"/>
            <w:sz w:val="24"/>
            <w:szCs w:val="24"/>
          </w:rPr>
          <w:t xml:space="preserve">https://pandia.ru/text/78/063/8255.php?ysclid=lpgmt8f9ms198772337 (дата обращения 20.11.2023) </w:t>
        </w:r>
      </w:hyperlink>
      <w:bookmarkStart w:id="0" w:name="_GoBack"/>
      <w:bookmarkEnd w:id="0"/>
    </w:p>
    <w:sectPr w:rsidR="003630EB">
      <w:pgSz w:w="11906" w:h="16838" w:orient="landscape"/>
      <w:pgMar w:top="1134" w:right="850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CF" w:rsidRDefault="00D71ACF">
      <w:pPr>
        <w:spacing w:after="0" w:line="240" w:lineRule="auto"/>
      </w:pPr>
      <w:r>
        <w:separator/>
      </w:r>
    </w:p>
  </w:endnote>
  <w:endnote w:type="continuationSeparator" w:id="0">
    <w:p w:rsidR="00D71ACF" w:rsidRDefault="00D7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CF" w:rsidRDefault="00D71ACF">
      <w:pPr>
        <w:spacing w:after="0" w:line="240" w:lineRule="auto"/>
      </w:pPr>
      <w:r>
        <w:separator/>
      </w:r>
    </w:p>
  </w:footnote>
  <w:footnote w:type="continuationSeparator" w:id="0">
    <w:p w:rsidR="00D71ACF" w:rsidRDefault="00D7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80C"/>
    <w:multiLevelType w:val="multilevel"/>
    <w:tmpl w:val="DE84304C"/>
    <w:lvl w:ilvl="0">
      <w:start w:val="1"/>
      <w:numFmt w:val="bullet"/>
      <w:suff w:val="spac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suff w:val="space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suff w:val="space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suff w:val="space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suff w:val="space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suff w:val="space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5173F"/>
    <w:multiLevelType w:val="multilevel"/>
    <w:tmpl w:val="0574B34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61716"/>
    <w:multiLevelType w:val="multilevel"/>
    <w:tmpl w:val="9A260A0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D7E8E"/>
    <w:multiLevelType w:val="multilevel"/>
    <w:tmpl w:val="BDE69C0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A3BC5"/>
    <w:multiLevelType w:val="multilevel"/>
    <w:tmpl w:val="6C2C3C2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5">
    <w:nsid w:val="7F3A37AE"/>
    <w:multiLevelType w:val="multilevel"/>
    <w:tmpl w:val="9116795A"/>
    <w:lvl w:ilvl="0">
      <w:start w:val="1"/>
      <w:numFmt w:val="bullet"/>
      <w:suff w:val="spac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suff w:val="space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suff w:val="space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suff w:val="space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suff w:val="space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suff w:val="space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EB"/>
    <w:rsid w:val="003630EB"/>
    <w:rsid w:val="006B64EB"/>
    <w:rsid w:val="007369B6"/>
    <w:rsid w:val="00D7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b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b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78/063/8255.php?ysclid=lpgmt8f9ms198772337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Лист1!$B$11</c:f>
              <c:strCache>
                <c:ptCount val="1"/>
                <c:pt idx="0">
                  <c:v>сформировано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</c:spPr>
          <c:invertIfNegative val="0"/>
          <c:cat>
            <c:strRef>
              <c:f>Лист1!$A$12:$A$18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strCache>
            </c:strRef>
          </c:cat>
          <c:val>
            <c:numRef>
              <c:f>Лист1!$B$12:$B$18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20</c:v>
                </c:pt>
                <c:pt idx="3">
                  <c:v>30</c:v>
                </c:pt>
                <c:pt idx="4">
                  <c:v>30</c:v>
                </c:pt>
                <c:pt idx="5">
                  <c:v>25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Лист1!$C$11</c:f>
              <c:strCache>
                <c:ptCount val="1"/>
                <c:pt idx="0">
                  <c:v>частично сформировано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</c:spPr>
          <c:invertIfNegative val="0"/>
          <c:cat>
            <c:strRef>
              <c:f>Лист1!$A$12:$A$18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strCache>
            </c:strRef>
          </c:cat>
          <c:val>
            <c:numRef>
              <c:f>Лист1!$C$12:$C$18</c:f>
              <c:numCache>
                <c:formatCode>General</c:formatCode>
                <c:ptCount val="7"/>
                <c:pt idx="0">
                  <c:v>30</c:v>
                </c:pt>
                <c:pt idx="1">
                  <c:v>25</c:v>
                </c:pt>
                <c:pt idx="2">
                  <c:v>35</c:v>
                </c:pt>
                <c:pt idx="3">
                  <c:v>60</c:v>
                </c:pt>
                <c:pt idx="4">
                  <c:v>60</c:v>
                </c:pt>
                <c:pt idx="5">
                  <c:v>35</c:v>
                </c:pt>
                <c:pt idx="6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Лист1!$D$11</c:f>
              <c:strCache>
                <c:ptCount val="1"/>
                <c:pt idx="0">
                  <c:v>не сформировано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</c:spPr>
          <c:invertIfNegative val="0"/>
          <c:cat>
            <c:strRef>
              <c:f>Лист1!$A$12:$A$18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strCache>
            </c:strRef>
          </c:cat>
          <c:val>
            <c:numRef>
              <c:f>Лист1!$D$12:$D$18</c:f>
              <c:numCache>
                <c:formatCode>General</c:formatCode>
                <c:ptCount val="7"/>
                <c:pt idx="0">
                  <c:v>60</c:v>
                </c:pt>
                <c:pt idx="1">
                  <c:v>55</c:v>
                </c:pt>
                <c:pt idx="2">
                  <c:v>45</c:v>
                </c:pt>
                <c:pt idx="3">
                  <c:v>10</c:v>
                </c:pt>
                <c:pt idx="4">
                  <c:v>10</c:v>
                </c:pt>
                <c:pt idx="5">
                  <c:v>40</c:v>
                </c:pt>
                <c:pt idx="6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6"/>
        <c:axId val="132991232"/>
        <c:axId val="133001216"/>
      </c:barChart>
      <c:catAx>
        <c:axId val="13299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/>
          <a:lstStyle/>
          <a:p>
            <a:pPr>
              <a:defRPr sz="1200">
                <a:solidFill>
                  <a:schemeClr val="tx1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001216"/>
        <c:crosses val="autoZero"/>
        <c:auto val="1"/>
        <c:lblAlgn val="ctr"/>
        <c:lblOffset val="100"/>
        <c:tickMarkSkip val="1"/>
        <c:noMultiLvlLbl val="0"/>
      </c:catAx>
      <c:valAx>
        <c:axId val="13300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title>
          <c:tx>
            <c:rich>
              <a:bodyPr/>
              <a:lstStyle/>
              <a:p>
                <a:pPr>
                  <a:defRPr sz="1200">
                    <a:solidFill>
                      <a:schemeClr val="tx1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200">
                    <a:solidFill>
                      <a:schemeClr val="tx1"/>
                    </a:solidFill>
                    <a:latin typeface="Times New Roman"/>
                    <a:ea typeface="Times New Roman"/>
                    <a:cs typeface="Times New Roman"/>
                  </a:rPr>
                  <a:t>Проценты</a:t>
                </a:r>
                <a:endParaRPr lang="ru-RU" sz="1200">
                  <a:solidFill>
                    <a:schemeClr val="tx1"/>
                  </a:solidFill>
                  <a:latin typeface="Times New Roman"/>
                  <a:cs typeface="Times New Roman"/>
                </a:endParaRPr>
              </a:p>
            </c:rich>
          </c:tx>
          <c:layout>
            <c:manualLayout>
              <c:xMode val="edge"/>
              <c:yMode val="edge"/>
              <c:x val="2.8529345859429366E-2"/>
              <c:y val="0.2575735865638746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1200">
                <a:solidFill>
                  <a:schemeClr val="tx1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2991232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>
              <a:solidFill>
                <a:schemeClr val="tx1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prstDash val="solid"/>
      <a:round/>
    </a:ln>
  </c:spPr>
  <c:txPr>
    <a:bodyPr/>
    <a:lstStyle/>
    <a:p>
      <a:pPr>
        <a:defRPr sz="1200">
          <a:solidFill>
            <a:schemeClr val="tx1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сформировано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</c:v>
                </c:pt>
                <c:pt idx="1">
                  <c:v>40</c:v>
                </c:pt>
                <c:pt idx="2">
                  <c:v>35</c:v>
                </c:pt>
                <c:pt idx="3">
                  <c:v>35</c:v>
                </c:pt>
                <c:pt idx="4">
                  <c:v>45</c:v>
                </c:pt>
                <c:pt idx="5">
                  <c:v>35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сформировано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55</c:v>
                </c:pt>
                <c:pt idx="1">
                  <c:v>45</c:v>
                </c:pt>
                <c:pt idx="2">
                  <c:v>60</c:v>
                </c:pt>
                <c:pt idx="3">
                  <c:v>60</c:v>
                </c:pt>
                <c:pt idx="4">
                  <c:v>55</c:v>
                </c:pt>
                <c:pt idx="5">
                  <c:v>45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сформировано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15</c:v>
                </c:pt>
                <c:pt idx="1">
                  <c:v>15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30</c:v>
                </c:pt>
                <c:pt idx="6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6"/>
        <c:axId val="133023232"/>
        <c:axId val="133024768"/>
      </c:barChart>
      <c:catAx>
        <c:axId val="13302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/>
          <a:lstStyle/>
          <a:p>
            <a:pPr>
              <a:defRPr sz="1200">
                <a:solidFill>
                  <a:schemeClr val="tx1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024768"/>
        <c:crosses val="autoZero"/>
        <c:auto val="1"/>
        <c:lblAlgn val="ctr"/>
        <c:lblOffset val="100"/>
        <c:tickMarkSkip val="1"/>
        <c:noMultiLvlLbl val="0"/>
      </c:catAx>
      <c:valAx>
        <c:axId val="13302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title>
          <c:tx>
            <c:rich>
              <a:bodyPr/>
              <a:lstStyle/>
              <a:p>
                <a:pPr>
                  <a:defRPr sz="1200">
                    <a:solidFill>
                      <a:schemeClr val="tx1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200">
                    <a:solidFill>
                      <a:schemeClr val="tx1"/>
                    </a:solidFill>
                    <a:latin typeface="Times New Roman"/>
                    <a:ea typeface="Times New Roman"/>
                    <a:cs typeface="Times New Roman"/>
                  </a:rPr>
                  <a:t>Проценты</a:t>
                </a:r>
                <a:endParaRPr lang="ru-RU" sz="1200">
                  <a:solidFill>
                    <a:schemeClr val="tx1"/>
                  </a:solidFill>
                  <a:latin typeface="Times New Roman"/>
                  <a:cs typeface="Times New Roman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1200">
                <a:solidFill>
                  <a:schemeClr val="tx1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023232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>
              <a:solidFill>
                <a:schemeClr val="tx1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prstDash val="solid"/>
      <a:round/>
    </a:ln>
  </c:spPr>
  <c:txPr>
    <a:bodyPr/>
    <a:lstStyle/>
    <a:p>
      <a:pPr>
        <a:defRPr sz="1200">
          <a:solidFill>
            <a:schemeClr val="tx1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N. Drozhilkina</dc:creator>
  <cp:keywords/>
  <dc:description/>
  <cp:lastModifiedBy>Tatiana N. Drozhilkina</cp:lastModifiedBy>
  <cp:revision>35</cp:revision>
  <dcterms:created xsi:type="dcterms:W3CDTF">2023-10-26T15:19:00Z</dcterms:created>
  <dcterms:modified xsi:type="dcterms:W3CDTF">2023-11-27T17:10:00Z</dcterms:modified>
</cp:coreProperties>
</file>