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7F" w:rsidRDefault="00A51C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</w:t>
      </w:r>
    </w:p>
    <w:p w:rsidR="0024317F" w:rsidRDefault="00A51C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 творчества Измайловский Адмиралтейского района Санкт-Петербурга</w:t>
      </w:r>
    </w:p>
    <w:p w:rsidR="0024317F" w:rsidRDefault="00243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A51C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Методическая разработка</w:t>
      </w:r>
    </w:p>
    <w:p w:rsidR="0024317F" w:rsidRDefault="00A51C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Настольная игра «Государство и его роль в жизни общества»</w:t>
      </w:r>
    </w:p>
    <w:p w:rsidR="0024317F" w:rsidRDefault="0024317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17F" w:rsidRDefault="0024317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17F" w:rsidRDefault="0024317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17F" w:rsidRDefault="00A51C6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</w:p>
    <w:p w:rsidR="0024317F" w:rsidRDefault="00A51C6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Слышенкова Ангелина Александровна</w:t>
      </w:r>
    </w:p>
    <w:p w:rsidR="0024317F" w:rsidRDefault="00A51C6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:rsidR="0024317F" w:rsidRDefault="0024317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24317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A51C6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24317F" w:rsidRDefault="00A51C6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</w:p>
    <w:p w:rsidR="0024317F" w:rsidRDefault="00A51C6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4317F" w:rsidRDefault="0024317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A51C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Федерального проекта «Патриотическое воспитание» сроком реализации до 2024 года разработана Рабочая программа воспитания для общеобразовательных учреждений. Одним из целевых ориентиров программы является развитие гражданской идентичности учащихся.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гражданской идентичности включает в себя формирование чувства социальной ответственности, знаний об основах организации общества. </w:t>
      </w:r>
    </w:p>
    <w:p w:rsidR="0024317F" w:rsidRDefault="00A51C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Государство является одним из институтов, обеспечивающим организацию и успешное функционирование общества. Государс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 - организация политической власти на определенной территории, обеспечивающая управление обществом. Оно защищает граждан своей страны от внешних угроз и обеспечивает внутри страны функционирование и развитие социальной, экономической, культурной сферы, </w:t>
      </w:r>
      <w:r>
        <w:rPr>
          <w:rFonts w:ascii="Times New Roman" w:eastAsia="Times New Roman" w:hAnsi="Times New Roman" w:cs="Times New Roman"/>
          <w:sz w:val="24"/>
          <w:szCs w:val="24"/>
        </w:rPr>
        <w:t>защищает и обеспечивает права и свободы граждан. Понимание роли государства в жизни общества важно, для воспитания гражданской идентичности и формирования налоговой грамотности у учащихся. Для решения данной воспитательной задачи могут использоваться игров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технологии. </w:t>
      </w:r>
    </w:p>
    <w:p w:rsidR="0024317F" w:rsidRDefault="00A51C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Игровые практики в образовании позволяют детям в привычном формате усваивать сложные понятия, лучше запоминать информацию, отрабатывать полученные знания на практике. Одна из разновидностей игр в образовании – настольные игры.</w:t>
      </w:r>
    </w:p>
    <w:p w:rsidR="0024317F" w:rsidRDefault="00A51C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Настольные иг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 позволяют визуализировать материал с помощью ярких картинок и символов. Во время игры ученики развивают свои социальные навыки – взаимодействуют не только с учителем, но и учатся договариваться между собой для слаженной работы в команде. </w:t>
      </w:r>
    </w:p>
    <w:p w:rsidR="0024317F" w:rsidRDefault="00A51C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Настольная игр</w:t>
      </w:r>
      <w:r>
        <w:rPr>
          <w:rFonts w:ascii="Times New Roman" w:eastAsia="Times New Roman" w:hAnsi="Times New Roman" w:cs="Times New Roman"/>
          <w:sz w:val="24"/>
          <w:szCs w:val="24"/>
        </w:rPr>
        <w:t>а «Государство и его роль в жизни общества» может использоваться при реализации основной общеобразовательной программы «Обществознание» во время изучения тем «Функции государства» и «Государственный бюджет»; при реализации дополнительной общеобразовательно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программы «Финансовая грамотность» во время изучения темы «Налоги».  </w:t>
      </w:r>
    </w:p>
    <w:p w:rsidR="0024317F" w:rsidRDefault="00A51C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Игра адресована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учащимся образовательных учреждений 14-17 лет. </w:t>
      </w:r>
    </w:p>
    <w:p w:rsidR="0024317F" w:rsidRDefault="00A51C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Цель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знаний учащихся о роли государства в обществе и развития гражданской идентичности.</w:t>
      </w:r>
    </w:p>
    <w:p w:rsidR="0024317F" w:rsidRDefault="00A51C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Задачи 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гры:</w:t>
      </w:r>
    </w:p>
    <w:p w:rsidR="0024317F" w:rsidRDefault="00A51C6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актуализировать знания о функциях государства, статьях доходов и расходов государственного бюджета;</w:t>
      </w:r>
    </w:p>
    <w:p w:rsidR="0024317F" w:rsidRDefault="00A51C6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способствовать развитию логического мышления;</w:t>
      </w:r>
    </w:p>
    <w:p w:rsidR="0024317F" w:rsidRDefault="00A51C6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навыков взаимодействия в коллективе;</w:t>
      </w:r>
    </w:p>
    <w:p w:rsidR="0024317F" w:rsidRDefault="00A51C6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формированию гражданской </w:t>
      </w:r>
      <w:r>
        <w:rPr>
          <w:rFonts w:ascii="Times New Roman" w:eastAsia="Times New Roman" w:hAnsi="Times New Roman" w:cs="Times New Roman"/>
          <w:sz w:val="24"/>
          <w:szCs w:val="24"/>
        </w:rPr>
        <w:t>идентичности и налоговой грамотности.</w:t>
      </w:r>
    </w:p>
    <w:p w:rsidR="0024317F" w:rsidRDefault="00A51C6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Основные понятия, формируемые в ходе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государство, государственный бюджет, доход бюджета, расходы бюджета.</w:t>
      </w:r>
    </w:p>
    <w:p w:rsidR="0024317F" w:rsidRDefault="00A51C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Материально-техническое оснащение: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стол, стулья (по количеству учащихся), игральный кубик, фишки для «хожд</w:t>
      </w:r>
      <w:r>
        <w:rPr>
          <w:rFonts w:ascii="Times New Roman" w:eastAsia="Times New Roman" w:hAnsi="Times New Roman" w:cs="Times New Roman"/>
          <w:sz w:val="24"/>
          <w:szCs w:val="24"/>
        </w:rPr>
        <w:t>ения» по игровому полю (по количеству команд или индивидуальных участников)</w:t>
      </w:r>
    </w:p>
    <w:p w:rsidR="0024317F" w:rsidRDefault="00A51C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участников игры - от 5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 Если количество участников игры больше 5 человек, то они объединяются в команды. В команде может быть от 2 человек. Настольная игра является стратегией, каждое принятое решение команды имеет большое значение для определения конечного результата.</w:t>
      </w:r>
    </w:p>
    <w:p w:rsidR="0024317F" w:rsidRDefault="0024317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A51C6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Ход игры.</w:t>
      </w:r>
    </w:p>
    <w:p w:rsidR="0024317F" w:rsidRDefault="00A51C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игрой педагог проводит с учащимися беседу, о внешних и внутренних функциях государства, о материальных ресурсах, которые использует государство для реализации своих функций.</w:t>
      </w:r>
    </w:p>
    <w:p w:rsidR="0024317F" w:rsidRDefault="00A51C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данной игре каждая команда является на время игры «государством»</w:t>
      </w:r>
      <w:r>
        <w:rPr>
          <w:rFonts w:ascii="Times New Roman" w:eastAsia="Times New Roman" w:hAnsi="Times New Roman" w:cs="Times New Roman"/>
          <w:sz w:val="24"/>
          <w:szCs w:val="24"/>
        </w:rPr>
        <w:t>. Кидая игральный кубик и переходя по игровым полям (Приложение 1), участники получают доходы или осуществляют расходы бюджета своего «государства». При этом, основная задача каждого «государства» - это забота о своих гражданах, обеспечение их общественным</w:t>
      </w:r>
      <w:r>
        <w:rPr>
          <w:rFonts w:ascii="Times New Roman" w:eastAsia="Times New Roman" w:hAnsi="Times New Roman" w:cs="Times New Roman"/>
          <w:sz w:val="24"/>
          <w:szCs w:val="24"/>
        </w:rPr>
        <w:t>и благами. Каждая команда заполняет Карту развития (Приложение 2) по которой можно увидеть прогресс в обеспечении общественными благами жителей «государства». Каждое «государство», при необходимости, может брать в долг денежные средства у других «государст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в», с условием их возврата. </w:t>
      </w:r>
    </w:p>
    <w:p w:rsidR="0024317F" w:rsidRDefault="00A51C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того что бы заполнить Карту развития, команде необходимо в свой ход выполнить «государственное задание» (Приложение 3): передать ведущему сумму монет, указанных на карточке задания и положить карточку в соответствующий сект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 и на соответствующую стоимость. Карта развития и «государственные задания» разделены по секторам и заполняются соответственно. </w:t>
      </w:r>
    </w:p>
    <w:p w:rsidR="0024317F" w:rsidRDefault="00A51C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Банком монет руководит ведущий игры (Приложение 4). На старте каждая команда получает 10 000 монет в бюджет своего «государст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ва». Каждый раз, проходя круг, команда получает еще 10 000 монет. Команда кидает кубик и делает ход фишкой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то количество игровых полей, которое выпало. Ведущий координирует участников игры и дает пояснения к полям на карте (Приложение 5). Победитель в и</w:t>
      </w:r>
      <w:r>
        <w:rPr>
          <w:rFonts w:ascii="Times New Roman" w:eastAsia="Times New Roman" w:hAnsi="Times New Roman" w:cs="Times New Roman"/>
          <w:sz w:val="24"/>
          <w:szCs w:val="24"/>
        </w:rPr>
        <w:t>гре – команда, которая быстрее других заполнит Карту развития.</w:t>
      </w:r>
    </w:p>
    <w:p w:rsidR="0024317F" w:rsidRDefault="00A51C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В Приложении 1, 2, 3, 4 произведен расчет раздаточного материала на 5 команд или индивидуальных участников. </w:t>
      </w:r>
    </w:p>
    <w:p w:rsidR="00A51C6E" w:rsidRDefault="00A51C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завершение игры участникам предлагается ответить на следующие вопросы для анализа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деятельности: Какие есть источники доходов у государства? Какие есть </w:t>
      </w:r>
      <w:r w:rsidR="0052086F">
        <w:rPr>
          <w:rFonts w:ascii="Times New Roman" w:eastAsia="Times New Roman" w:hAnsi="Times New Roman" w:cs="Times New Roman"/>
          <w:sz w:val="24"/>
          <w:szCs w:val="24"/>
          <w:lang w:val="ru-RU"/>
        </w:rPr>
        <w:t>расходы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государства? Каким образом государство защищает и обеспечивает права и свободы граждан?  </w:t>
      </w:r>
    </w:p>
    <w:p w:rsidR="00A51C6E" w:rsidRDefault="00A51C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51C6E" w:rsidRDefault="00A51C6E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51C6E">
        <w:rPr>
          <w:rFonts w:ascii="Times New Roman" w:hAnsi="Times New Roman" w:cs="Times New Roman"/>
          <w:sz w:val="24"/>
          <w:lang w:val="ru-RU"/>
        </w:rPr>
        <w:lastRenderedPageBreak/>
        <w:t xml:space="preserve">Литература: </w:t>
      </w:r>
    </w:p>
    <w:p w:rsidR="00A51C6E" w:rsidRPr="00A51C6E" w:rsidRDefault="00A51C6E" w:rsidP="00A51C6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51C6E">
        <w:rPr>
          <w:rFonts w:ascii="Times New Roman" w:hAnsi="Times New Roman" w:cs="Times New Roman"/>
        </w:rPr>
        <w:t xml:space="preserve">Киреев А.П. Финансовая грамотность: материалы для учащихся. 10–11 классы </w:t>
      </w:r>
      <w:proofErr w:type="spellStart"/>
      <w:r w:rsidRPr="00A51C6E">
        <w:rPr>
          <w:rFonts w:ascii="Times New Roman" w:hAnsi="Times New Roman" w:cs="Times New Roman"/>
        </w:rPr>
        <w:t>общеобразоват</w:t>
      </w:r>
      <w:proofErr w:type="spellEnd"/>
      <w:r w:rsidRPr="00A51C6E">
        <w:rPr>
          <w:rFonts w:ascii="Times New Roman" w:hAnsi="Times New Roman" w:cs="Times New Roman"/>
        </w:rPr>
        <w:t>. орг., социально-экономический профиль. – М.: ВАКО, 2020. – 384 с. – (Учимся разумному финансовому поведению).</w:t>
      </w:r>
    </w:p>
    <w:p w:rsidR="00A51C6E" w:rsidRPr="00A51C6E" w:rsidRDefault="00A51C6E" w:rsidP="00A51C6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  <w:proofErr w:type="spellStart"/>
      <w:r w:rsidRPr="00A51C6E">
        <w:rPr>
          <w:rFonts w:ascii="Times New Roman" w:hAnsi="Times New Roman" w:cs="Times New Roman"/>
        </w:rPr>
        <w:t>Липсиц</w:t>
      </w:r>
      <w:proofErr w:type="spellEnd"/>
      <w:r w:rsidRPr="00A51C6E">
        <w:rPr>
          <w:rFonts w:ascii="Times New Roman" w:hAnsi="Times New Roman" w:cs="Times New Roman"/>
        </w:rPr>
        <w:t xml:space="preserve"> И.В., Вигдорчик Е.А. Финансовая грамотность: материалы для учащихся. 5–7 классы </w:t>
      </w:r>
      <w:proofErr w:type="spellStart"/>
      <w:r w:rsidRPr="00A51C6E">
        <w:rPr>
          <w:rFonts w:ascii="Times New Roman" w:hAnsi="Times New Roman" w:cs="Times New Roman"/>
        </w:rPr>
        <w:t>общеобразоват</w:t>
      </w:r>
      <w:proofErr w:type="spellEnd"/>
      <w:r w:rsidRPr="00A51C6E">
        <w:rPr>
          <w:rFonts w:ascii="Times New Roman" w:hAnsi="Times New Roman" w:cs="Times New Roman"/>
        </w:rPr>
        <w:t xml:space="preserve">. орг. – М.: ВАКО, 2018. – 280 с. – (Учимся разумному финансовому поведению). </w:t>
      </w:r>
    </w:p>
    <w:p w:rsidR="0024317F" w:rsidRPr="00A51C6E" w:rsidRDefault="00A51C6E" w:rsidP="00A51C6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C6E">
        <w:rPr>
          <w:rFonts w:ascii="Times New Roman" w:hAnsi="Times New Roman" w:cs="Times New Roman"/>
        </w:rPr>
        <w:t>Липсиц</w:t>
      </w:r>
      <w:proofErr w:type="spellEnd"/>
      <w:r w:rsidRPr="00A51C6E">
        <w:rPr>
          <w:rFonts w:ascii="Times New Roman" w:hAnsi="Times New Roman" w:cs="Times New Roman"/>
        </w:rPr>
        <w:t xml:space="preserve"> И.В., Рязанова О.И. Финансовая грамотность: материалы для учащихся. 8—9 классы </w:t>
      </w:r>
      <w:proofErr w:type="spellStart"/>
      <w:r w:rsidRPr="00A51C6E">
        <w:rPr>
          <w:rFonts w:ascii="Times New Roman" w:hAnsi="Times New Roman" w:cs="Times New Roman"/>
        </w:rPr>
        <w:t>общеобразоват</w:t>
      </w:r>
      <w:proofErr w:type="spellEnd"/>
      <w:r w:rsidRPr="00A51C6E">
        <w:rPr>
          <w:rFonts w:ascii="Times New Roman" w:hAnsi="Times New Roman" w:cs="Times New Roman"/>
        </w:rPr>
        <w:t xml:space="preserve">. орг. — М.: ВАКО, 2018. — 352 с. — (Учимся разумному финансовому поведению). </w:t>
      </w:r>
      <w:r w:rsidRPr="00A51C6E">
        <w:rPr>
          <w:rFonts w:ascii="Times New Roman" w:hAnsi="Times New Roman" w:cs="Times New Roman"/>
        </w:rPr>
        <w:br w:type="page"/>
      </w:r>
    </w:p>
    <w:p w:rsidR="0024317F" w:rsidRDefault="00A51C6E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риложение 1</w:t>
      </w:r>
    </w:p>
    <w:p w:rsidR="0024317F" w:rsidRDefault="00A51C6E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Игровое поле</w:t>
      </w:r>
    </w:p>
    <w:p w:rsidR="0024317F" w:rsidRDefault="00A51C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Рекомендуемый формат печати - А2. Печать в 1 экзе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мпляре. </w:t>
      </w:r>
    </w:p>
    <w:p w:rsidR="0024317F" w:rsidRDefault="00A51C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731200" cy="4051300"/>
            <wp:effectExtent l="0" t="0" r="0" b="0"/>
            <wp:docPr id="2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5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317F" w:rsidRDefault="0024317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A51C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4317F" w:rsidRDefault="00A51C6E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2 </w:t>
      </w:r>
    </w:p>
    <w:p w:rsidR="0024317F" w:rsidRDefault="00A51C6E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i/>
          <w:sz w:val="24"/>
          <w:szCs w:val="24"/>
        </w:rPr>
        <w:t>Карта развития</w:t>
      </w:r>
    </w:p>
    <w:p w:rsidR="0024317F" w:rsidRDefault="00A51C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Печать в 5 экземплярах, по количеству команд.</w:t>
      </w:r>
    </w:p>
    <w:p w:rsidR="0024317F" w:rsidRDefault="00A51C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667375" cy="4010025"/>
            <wp:effectExtent l="0" t="0" r="0" b="0"/>
            <wp:docPr id="2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01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24317F" w:rsidRDefault="002431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17F" w:rsidRDefault="00A51C6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24317F" w:rsidRDefault="00A51C6E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Государственные задания</w:t>
      </w:r>
    </w:p>
    <w:p w:rsidR="0024317F" w:rsidRDefault="00A51C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Рисунок 1. Печать в 5 экземплярах. </w:t>
      </w:r>
    </w:p>
    <w:p w:rsidR="0024317F" w:rsidRDefault="00A51C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3121878" cy="2208926"/>
            <wp:effectExtent l="0" t="0" r="0" b="0"/>
            <wp:docPr id="2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1878" cy="2208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317F" w:rsidRDefault="00A51C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Рисунок 2. Печать в 3 экземплярах. </w:t>
      </w:r>
    </w:p>
    <w:p w:rsidR="0024317F" w:rsidRDefault="00A51C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3088604" cy="2177213"/>
            <wp:effectExtent l="0" t="0" r="0" b="0"/>
            <wp:docPr id="2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8604" cy="2177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317F" w:rsidRDefault="00A51C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Рисунок 3. Печать в 2 экземплярах. </w:t>
      </w:r>
    </w:p>
    <w:p w:rsidR="0024317F" w:rsidRDefault="00A51C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3101668" cy="2190496"/>
            <wp:effectExtent l="0" t="0" r="0" b="0"/>
            <wp:docPr id="2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1668" cy="2190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24317F" w:rsidRDefault="00A51C6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24317F" w:rsidRDefault="00A51C6E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Монеты</w:t>
      </w:r>
    </w:p>
    <w:p w:rsidR="0024317F" w:rsidRDefault="00A51C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Печать в 8 экземплярах. </w:t>
      </w:r>
    </w:p>
    <w:p w:rsidR="0024317F" w:rsidRDefault="00A51C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667375" cy="7543800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54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317F" w:rsidRDefault="00A51C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4317F" w:rsidRDefault="00A51C6E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24317F" w:rsidRDefault="00A51C6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Пояснения к игровым полям</w:t>
      </w:r>
    </w:p>
    <w:p w:rsidR="0024317F" w:rsidRDefault="00A51C6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Старт. Каждая команда получает 10 000 монет. Каждый раз при прохождении круга команда получает 10 000 монет.</w:t>
      </w:r>
    </w:p>
    <w:p w:rsidR="0024317F" w:rsidRDefault="00A51C6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Инфляция. При попадании на это поле команда бросает кубик еще раз. При выпадении на игровом кубике 1 - команда теряет 0% всей суммы своих монет, 2 - 50%, 3 - 0%, 4 - 0%, 5 - 0%, 6 - 50%. </w:t>
      </w:r>
    </w:p>
    <w:p w:rsidR="0024317F" w:rsidRDefault="00A51C6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Доход государства от продажи имущества 10 000 монет. Государство мож</w:t>
      </w:r>
      <w:r>
        <w:rPr>
          <w:rFonts w:ascii="Times New Roman" w:eastAsia="Times New Roman" w:hAnsi="Times New Roman" w:cs="Times New Roman"/>
          <w:sz w:val="24"/>
          <w:szCs w:val="24"/>
        </w:rPr>
        <w:t>ет получать доход от использования имущества, находящегося в государственной или муниципальной собственности.</w:t>
      </w:r>
    </w:p>
    <w:p w:rsidR="0024317F" w:rsidRDefault="00A51C6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Государство получило анонимное пожертвование в размере 5000 монет. В соответствии с Гражданским Кодексом РФ, пожертвования могут делаться государс</w:t>
      </w:r>
      <w:r>
        <w:rPr>
          <w:rFonts w:ascii="Times New Roman" w:eastAsia="Times New Roman" w:hAnsi="Times New Roman" w:cs="Times New Roman"/>
          <w:sz w:val="24"/>
          <w:szCs w:val="24"/>
        </w:rPr>
        <w:t>тву и его субъектам.</w:t>
      </w:r>
    </w:p>
    <w:p w:rsidR="0024317F" w:rsidRDefault="00A51C6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Выходной! Вы пропускаете следующий ход.</w:t>
      </w:r>
    </w:p>
    <w:p w:rsidR="0024317F" w:rsidRDefault="00A51C6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Государство решило вложить свои монеты в развитие новой отрасли экономики, это связано с риском. При попадании на данное игровое поле, команда (или индивидуальный игрок) бросает кубик еще раз.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выпадении 1, 3, 5 - государство теряет 5000 монет. При выпадении 2, 4, 6 - государство получает доход 5000 монет. </w:t>
      </w:r>
    </w:p>
    <w:p w:rsidR="0024317F" w:rsidRDefault="00A51C6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Пора возвращать государственный долг - 5000 монет! Государство может брать денежные средства в долг внутри страны (у граждан, банков) и за </w:t>
      </w:r>
      <w:r>
        <w:rPr>
          <w:rFonts w:ascii="Times New Roman" w:eastAsia="Times New Roman" w:hAnsi="Times New Roman" w:cs="Times New Roman"/>
          <w:sz w:val="24"/>
          <w:szCs w:val="24"/>
        </w:rPr>
        <w:t>ее пределами (у других государств и международных организаций).</w:t>
      </w:r>
    </w:p>
    <w:p w:rsidR="0024317F" w:rsidRDefault="00A51C6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Эмиссия денег. Доход 1000 монет. Эмиссию денег (выпуск новых денег в обращение) в Российской Федерации осуществляет Центральный Банк РФ.</w:t>
      </w:r>
    </w:p>
    <w:p w:rsidR="0024317F" w:rsidRDefault="00A51C6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оплатить расходы на содержание армии 5000 мо</w:t>
      </w:r>
      <w:r>
        <w:rPr>
          <w:rFonts w:ascii="Times New Roman" w:eastAsia="Times New Roman" w:hAnsi="Times New Roman" w:cs="Times New Roman"/>
          <w:sz w:val="24"/>
          <w:szCs w:val="24"/>
        </w:rPr>
        <w:t>нет. Часть государственного бюджета предназначена для финансирования Вооруженных сил Российской Федерации (разработка, закупка и ремонт военной техники, затраты на боевую подготовку, продовольственное и вещевое обеспечение и другие расходы)</w:t>
      </w:r>
    </w:p>
    <w:p w:rsidR="0024317F" w:rsidRDefault="00A51C6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Налоговые посту</w:t>
      </w:r>
      <w:r>
        <w:rPr>
          <w:rFonts w:ascii="Times New Roman" w:eastAsia="Times New Roman" w:hAnsi="Times New Roman" w:cs="Times New Roman"/>
          <w:sz w:val="24"/>
          <w:szCs w:val="24"/>
        </w:rPr>
        <w:t>пления 15 000 монет. Налоги являются основным источником дохода государственного бюджета.</w:t>
      </w:r>
    </w:p>
    <w:p w:rsidR="0024317F" w:rsidRDefault="00A51C6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Выплата заработной платы работникам государственного сектора в размере 5000 монет. Из бюджета государства выплачиваются заработные платы работникам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государственного с</w:t>
      </w:r>
      <w:r>
        <w:rPr>
          <w:rFonts w:ascii="Times New Roman" w:eastAsia="Times New Roman" w:hAnsi="Times New Roman" w:cs="Times New Roman"/>
          <w:sz w:val="24"/>
          <w:szCs w:val="24"/>
        </w:rPr>
        <w:t>ектора: учителям, врачам, спасателям, военным, государственным служащим.</w:t>
      </w:r>
    </w:p>
    <w:p w:rsidR="0024317F" w:rsidRDefault="00A51C6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бюджет поступил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займ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дружественного государства 5000 монет. Государство может брать в долг денежные средства у другого государства. За счет займов у иностранных государств формируется внешний долг.</w:t>
      </w:r>
    </w:p>
    <w:p w:rsidR="0024317F" w:rsidRDefault="00A51C6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осуществить расходы в размере 10 000 монет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реформу сферы здравоохранения! Реформа - преобразование, проводимое государством с помощью законодательства. Реформа необходима для того, чтобы сформировать новую систему взаимодействия, наиболее подходящую для данного этапа развития страны.</w:t>
      </w:r>
    </w:p>
    <w:p w:rsidR="0024317F" w:rsidRDefault="00A51C6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Выплата су</w:t>
      </w:r>
      <w:r>
        <w:rPr>
          <w:rFonts w:ascii="Times New Roman" w:eastAsia="Times New Roman" w:hAnsi="Times New Roman" w:cs="Times New Roman"/>
          <w:sz w:val="24"/>
          <w:szCs w:val="24"/>
        </w:rPr>
        <w:t>бсидий нуждающимся гражданам - 5000 монет. Субсидии - безвозмездная материальная помощь уязвимым слоям населения. Субсидии предоставляются под определенную цель. Для граждан это могут быть субсидии на жилье, оплату ЖКХ и другие.</w:t>
      </w:r>
    </w:p>
    <w:p w:rsidR="0024317F" w:rsidRDefault="00A51C6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получили процент по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оставленному кредиту иностранному государству - 1000 монет. Государство не только может брать в долг, но и давать в долг на определенных условиях.</w:t>
      </w:r>
    </w:p>
    <w:p w:rsidR="0024317F" w:rsidRDefault="00A51C6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Затраты на охрану природы - 5000 монет. Сохранение природы - важное направление государственной политики Росс</w:t>
      </w:r>
      <w:r>
        <w:rPr>
          <w:rFonts w:ascii="Times New Roman" w:eastAsia="Times New Roman" w:hAnsi="Times New Roman" w:cs="Times New Roman"/>
          <w:sz w:val="24"/>
          <w:szCs w:val="24"/>
        </w:rPr>
        <w:t>ийской Федерации. Глобальные проблемы экологии затрагивают интересы России и ее граждан. Примеры расходов на охрану природы: мероприятия по обращению с отходами производства и потребления, организация контроля за выбросами в окружающую среду.</w:t>
      </w:r>
    </w:p>
    <w:p w:rsidR="0024317F" w:rsidRDefault="002431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431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DF3"/>
    <w:multiLevelType w:val="multilevel"/>
    <w:tmpl w:val="63B826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E51CAF"/>
    <w:multiLevelType w:val="hybridMultilevel"/>
    <w:tmpl w:val="130E50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2406CD"/>
    <w:multiLevelType w:val="multilevel"/>
    <w:tmpl w:val="218A1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7F"/>
    <w:rsid w:val="001720B1"/>
    <w:rsid w:val="0024317F"/>
    <w:rsid w:val="0052086F"/>
    <w:rsid w:val="00A51C6E"/>
    <w:rsid w:val="00E17F0E"/>
    <w:rsid w:val="00F3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FCC6"/>
  <w15:docId w15:val="{B3DBC31D-BE60-4BDA-98EE-9B2A1CDF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A5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XELMquzq38SC6GKYuMIr5k8plA==">CgMxLjAyCGguZ2pkZ3hzMgloLjMwajB6bGwyCWguMWZvYjl0ZTgAciExQzhfT3JCM2w0bW9PM3NCZFVxS0Eya0RiRmttaXNyeno=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1411</Words>
  <Characters>8044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6</cp:revision>
  <dcterms:created xsi:type="dcterms:W3CDTF">2023-03-20T11:31:00Z</dcterms:created>
  <dcterms:modified xsi:type="dcterms:W3CDTF">2023-11-02T13:49:00Z</dcterms:modified>
</cp:coreProperties>
</file>